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pStyle w:val="Eyebrow"/>
        <w:keepNext/>
      </w:pPr>
      <w:r>
        <w:t>DISE | DELAYED IN-SITU SUSPENSION POLYMERIZATION</w:t>
      </w:r>
    </w:p>
    <w:p>
      <w:pPr>
        <w:spacing w:after="160"/>
      </w:pPr>
      <w:r>
        <w:rPr>
          <w:color w:val="B7E344"/>
          <w:sz w:val="18"/>
        </w:rPr>
        <w:t>━━━━━━━━━━━━</w:t>
      </w:r>
    </w:p>
    <w:p>
      <w:pPr>
        <w:pStyle w:val="Title"/>
        <w:keepNext/>
        <w:spacing w:after="60"/>
      </w:pPr>
      <w:r>
        <w:rPr>
          <w:rFonts w:ascii="Aptos" w:hAnsi="Aptos"/>
          <w:b/>
          <w:i w:val="0"/>
          <w:color w:val="000000"/>
          <w:sz w:val="70"/>
        </w:rPr>
        <w:t>TIMELINE</w:t>
      </w:r>
    </w:p>
    <w:p>
      <w:pPr>
        <w:pStyle w:val="Title"/>
        <w:keepNext/>
        <w:spacing w:after="60"/>
      </w:pPr>
      <w:r>
        <w:rPr>
          <w:rFonts w:ascii="Aptos" w:hAnsi="Aptos"/>
          <w:b/>
          <w:i w:val="0"/>
          <w:color w:val="000000"/>
          <w:sz w:val="70"/>
        </w:rPr>
        <w:t>CAPABILITY</w:t>
      </w:r>
    </w:p>
    <w:p>
      <w:pPr>
        <w:pStyle w:val="Title"/>
        <w:keepNext/>
        <w:spacing w:after="240"/>
      </w:pPr>
      <w:r>
        <w:rPr>
          <w:rFonts w:ascii="Aptos" w:hAnsi="Aptos"/>
          <w:b/>
          <w:i w:val="0"/>
          <w:color w:val="000000"/>
          <w:sz w:val="70"/>
        </w:rPr>
        <w:t>AND COSTS</w:t>
      </w:r>
    </w:p>
    <w:p>
      <w:pPr>
        <w:pStyle w:val="Deck"/>
      </w:pPr>
      <w:r>
        <w:rPr>
          <w:rFonts w:ascii="Aptos" w:hAnsi="Aptos"/>
          <w:b w:val="0"/>
          <w:i w:val="0"/>
          <w:color w:val="53697D"/>
          <w:sz w:val="32"/>
        </w:rPr>
        <w:t>A focused laboratory programme to advance the integrated DISE platform from TRL 3 to TRL 4</w:t>
      </w:r>
    </w:p>
    <w:p/>
    <w:tbl>
      <w:tblPr>
        <w:tblW w:type="dxa" w:w="9638"/>
        <w:jc w:val="center"/>
        <w:tblLayout w:type="fixed"/>
        <w:tblLook w:firstColumn="1" w:firstRow="1" w:lastColumn="0" w:lastRow="0" w:noHBand="0" w:noVBand="1" w:val="04A0"/>
        <w:tblInd w:w="0" w:type="dxa"/>
        <w:tblBorders>
          <w:top w:val="single" w:sz="4" w:color="C8DCE4"/>
          <w:left w:val="single" w:sz="4" w:color="C8DCE4"/>
          <w:bottom w:val="single" w:sz="4" w:color="C8DCE4"/>
          <w:right w:val="single" w:sz="4" w:color="C8DCE4"/>
          <w:insideH w:val="single" w:sz="4" w:color="C8DCE4"/>
          <w:insideV w:val="single" w:sz="4" w:color="C8DCE4"/>
        </w:tblBorders>
      </w:tblPr>
      <w:tblGrid>
        <w:gridCol w:w="3213"/>
        <w:gridCol w:w="3213"/>
        <w:gridCol w:w="3213"/>
      </w:tblGrid>
      <w:tr>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18A7A0"/>
                <w:sz w:val="44"/>
              </w:rPr>
              <w:t>6 months</w:t>
            </w:r>
          </w:p>
          <w:p>
            <w:pPr>
              <w:spacing w:after="0"/>
              <w:jc w:val="center"/>
            </w:pPr>
            <w:r>
              <w:rPr>
                <w:rFonts w:ascii="Aptos" w:hAnsi="Aptos"/>
                <w:b/>
                <w:i w:val="0"/>
                <w:color w:val="53697D"/>
                <w:sz w:val="14"/>
              </w:rPr>
              <w:t>LABORATORY PROGRAMME</w:t>
            </w:r>
          </w:p>
        </w:tc>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071B33"/>
                <w:sz w:val="44"/>
              </w:rPr>
              <w:t>£50k–£75k</w:t>
            </w:r>
          </w:p>
          <w:p>
            <w:pPr>
              <w:spacing w:after="0"/>
              <w:jc w:val="center"/>
            </w:pPr>
            <w:r>
              <w:rPr>
                <w:rFonts w:ascii="Aptos" w:hAnsi="Aptos"/>
                <w:b/>
                <w:i w:val="0"/>
                <w:color w:val="53697D"/>
                <w:sz w:val="14"/>
              </w:rPr>
              <w:t>INDICATIVE BUDGET</w:t>
            </w:r>
          </w:p>
        </w:tc>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18A7A0"/>
                <w:sz w:val="44"/>
              </w:rPr>
              <w:t>TRL 4</w:t>
            </w:r>
          </w:p>
          <w:p>
            <w:pPr>
              <w:spacing w:after="0"/>
              <w:jc w:val="center"/>
            </w:pPr>
            <w:r>
              <w:rPr>
                <w:rFonts w:ascii="Aptos" w:hAnsi="Aptos"/>
                <w:b/>
                <w:i w:val="0"/>
                <w:color w:val="53697D"/>
                <w:sz w:val="14"/>
              </w:rPr>
              <w:t>TARGET EXIT STATE</w:t>
            </w:r>
          </w:p>
        </w:tc>
      </w:tr>
    </w:tbl>
    <w:p/>
    <w:p>
      <w:pPr>
        <w:spacing w:before="200" w:after="60"/>
      </w:pPr>
      <w:r>
        <w:rPr>
          <w:rFonts w:ascii="Aptos" w:hAnsi="Aptos"/>
          <w:b/>
          <w:i w:val="0"/>
          <w:color w:val="18A7A0"/>
          <w:sz w:val="16"/>
        </w:rPr>
        <w:t>PROGRAMME INTENT</w:t>
      </w:r>
    </w:p>
    <w:p>
      <w:pPr>
        <w:spacing w:after="80"/>
      </w:pPr>
      <w:r>
        <w:rPr>
          <w:rFonts w:ascii="Aptos" w:hAnsi="Aptos"/>
          <w:b/>
          <w:i w:val="0"/>
          <w:color w:val="000000"/>
          <w:sz w:val="28"/>
        </w:rPr>
        <w:t>One formulation. One integrated evidence chain.</w:t>
      </w:r>
    </w:p>
    <w:p>
      <w:pPr>
        <w:spacing w:after="160"/>
      </w:pPr>
      <w:r>
        <w:rPr>
          <w:rFonts w:ascii="Aptos" w:hAnsi="Aptos"/>
          <w:b w:val="0"/>
          <w:i w:val="0"/>
          <w:color w:val="13263A"/>
          <w:sz w:val="19"/>
        </w:rPr>
        <w:t>The programme is designed to identify and lock a candidate DISE formulation that meets the transport, timing, particle-formation and flow-preservation criteria together—not as isolated laboratory successes.</w:t>
      </w:r>
    </w:p>
    <w:p/>
    <w:p/>
    <w:p/>
    <w:p>
      <w:r>
        <w:rPr>
          <w:rFonts w:ascii="Aptos" w:hAnsi="Aptos"/>
          <w:b/>
          <w:i w:val="0"/>
          <w:color w:val="53697D"/>
          <w:sz w:val="16"/>
        </w:rPr>
        <w:t>PROGRAMME DOSSIER  |  VERSION 1.0  |  SEPTEMBER 2026</w:t>
      </w:r>
    </w:p>
    <w:p>
      <w:r>
        <w:rPr>
          <w:rFonts w:ascii="Aptos" w:hAnsi="Aptos"/>
          <w:b/>
          <w:i w:val="0"/>
          <w:color w:val="071B33"/>
          <w:sz w:val="20"/>
        </w:rPr>
        <w:t>Dr Juan Martin</w:t>
      </w:r>
      <w:r>
        <w:rPr>
          <w:rFonts w:ascii="Aptos" w:hAnsi="Aptos"/>
          <w:b w:val="0"/>
          <w:i w:val="0"/>
          <w:color w:val="53697D"/>
          <w:sz w:val="18"/>
        </w:rPr>
        <w:t xml:space="preserve">  •  Project Lead  •  University of East London</w:t>
      </w:r>
    </w:p>
    <w:p>
      <w:r>
        <w:br w:type="page"/>
      </w:r>
    </w:p>
    <w:p>
      <w:pPr>
        <w:pStyle w:val="Eyebrow"/>
        <w:keepNext/>
      </w:pPr>
      <w:r>
        <w:t>01 | EXECUTIVE DECISION BRIEF</w:t>
      </w:r>
    </w:p>
    <w:p>
      <w:pPr>
        <w:pStyle w:val="Title"/>
        <w:keepNext/>
        <w:jc w:val="left"/>
      </w:pPr>
      <w:r>
        <w:t>A six-month route to a defensible TRL 4</w:t>
      </w:r>
    </w:p>
    <w:p>
      <w:pPr>
        <w:pStyle w:val="Deck"/>
      </w:pPr>
      <w:r>
        <w:t>A bounded programme that converts the DISE architecture into repeatable laboratory evidence and a locked candidate formulation.</w:t>
      </w:r>
    </w:p>
    <w:tbl>
      <w:tblPr>
        <w:tblW w:type="dxa" w:w="9638"/>
        <w:jc w:val="center"/>
        <w:tblLayout w:type="fixed"/>
        <w:tblLook w:firstColumn="1" w:firstRow="1" w:lastColumn="0" w:lastRow="0" w:noHBand="0" w:noVBand="1" w:val="04A0"/>
        <w:tblInd w:w="0" w:type="dxa"/>
        <w:tblBorders>
          <w:top w:val="single" w:sz="4" w:color="C8DCE4"/>
          <w:left w:val="single" w:sz="4" w:color="C8DCE4"/>
          <w:bottom w:val="single" w:sz="4" w:color="C8DCE4"/>
          <w:right w:val="single" w:sz="4" w:color="C8DCE4"/>
          <w:insideH w:val="single" w:sz="4" w:color="C8DCE4"/>
          <w:insideV w:val="single" w:sz="4" w:color="C8DCE4"/>
        </w:tblBorders>
      </w:tblPr>
      <w:tblGrid>
        <w:gridCol w:w="3213"/>
        <w:gridCol w:w="3213"/>
        <w:gridCol w:w="3213"/>
      </w:tblGrid>
      <w:tr>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071B33"/>
                <w:sz w:val="44"/>
              </w:rPr>
              <w:t>TRL 3</w:t>
            </w:r>
          </w:p>
          <w:p>
            <w:pPr>
              <w:spacing w:after="0"/>
              <w:jc w:val="center"/>
            </w:pPr>
            <w:r>
              <w:rPr>
                <w:rFonts w:ascii="Aptos" w:hAnsi="Aptos"/>
                <w:b/>
                <w:i w:val="0"/>
                <w:color w:val="53697D"/>
                <w:sz w:val="14"/>
              </w:rPr>
              <w:t>CURRENT INTEGRATED MATURITY</w:t>
            </w:r>
          </w:p>
        </w:tc>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18A7A0"/>
                <w:sz w:val="44"/>
              </w:rPr>
              <w:t>3 work blocks</w:t>
            </w:r>
          </w:p>
          <w:p>
            <w:pPr>
              <w:spacing w:after="0"/>
              <w:jc w:val="center"/>
            </w:pPr>
            <w:r>
              <w:rPr>
                <w:rFonts w:ascii="Aptos" w:hAnsi="Aptos"/>
                <w:b/>
                <w:i w:val="0"/>
                <w:color w:val="53697D"/>
                <w:sz w:val="14"/>
              </w:rPr>
              <w:t>TWO MONTHS EACH</w:t>
            </w:r>
          </w:p>
        </w:tc>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071B33"/>
                <w:sz w:val="44"/>
              </w:rPr>
              <w:t>6 exit gates</w:t>
            </w:r>
          </w:p>
          <w:p>
            <w:pPr>
              <w:spacing w:after="0"/>
              <w:jc w:val="center"/>
            </w:pPr>
            <w:r>
              <w:rPr>
                <w:rFonts w:ascii="Aptos" w:hAnsi="Aptos"/>
                <w:b/>
                <w:i w:val="0"/>
                <w:color w:val="53697D"/>
                <w:sz w:val="14"/>
              </w:rPr>
              <w:t>GO / NO-GO DECISION</w:t>
            </w:r>
          </w:p>
        </w:tc>
      </w:tr>
    </w:tbl>
    <w:p>
      <w:pPr>
        <w:pStyle w:val="Heading1"/>
        <w:keepNext/>
      </w:pPr>
      <w:r>
        <w:t>The proposition</w:t>
      </w:r>
    </w:p>
    <w:p>
      <w:r>
        <w:t>DISE can progress from TRL 3 to TRL 4 in approximately six months through a focused laboratory programme at the University of East London (UEL). The work converts the present analytical and experimentally testable architecture into an integrated laboratory demonstration, with quantified limits for transport, delayed activation, particle formation and preserved flow.</w:t>
      </w:r>
    </w:p>
    <w:p>
      <w:pPr>
        <w:pStyle w:val="Heading2"/>
        <w:keepNext/>
      </w:pPr>
      <w:r>
        <w:t>What the programme will decide</w:t>
      </w:r>
    </w:p>
    <w:p>
      <w:pPr>
        <w:pStyle w:val="ListBullet"/>
        <w:spacing w:after="80"/>
        <w:ind w:left="255" w:hanging="113"/>
      </w:pPr>
      <w:r>
        <w:rPr>
          <w:rFonts w:ascii="Aptos" w:hAnsi="Aptos"/>
          <w:b w:val="0"/>
          <w:i w:val="0"/>
          <w:color w:val="13263A"/>
          <w:sz w:val="19"/>
        </w:rPr>
        <w:t>Whether a complete DISE fluid can remain at or below 10 cP through the required transport simulation.</w:t>
      </w:r>
    </w:p>
    <w:p>
      <w:pPr>
        <w:pStyle w:val="ListBullet"/>
        <w:spacing w:after="80"/>
        <w:ind w:left="255" w:hanging="113"/>
      </w:pPr>
      <w:r>
        <w:rPr>
          <w:rFonts w:ascii="Aptos" w:hAnsi="Aptos"/>
          <w:b w:val="0"/>
          <w:i w:val="0"/>
          <w:color w:val="13263A"/>
          <w:sz w:val="19"/>
        </w:rPr>
        <w:t>Whether delayed activation can be reproduced inside the 25–75 minute target window under defined thermal histories.</w:t>
      </w:r>
    </w:p>
    <w:p>
      <w:pPr>
        <w:pStyle w:val="ListBullet"/>
        <w:spacing w:after="80"/>
        <w:ind w:left="255" w:hanging="113"/>
      </w:pPr>
      <w:r>
        <w:rPr>
          <w:rFonts w:ascii="Aptos" w:hAnsi="Aptos"/>
          <w:b w:val="0"/>
          <w:i w:val="0"/>
          <w:color w:val="13263A"/>
          <w:sz w:val="19"/>
        </w:rPr>
        <w:t>Whether curing remains intra-droplet, yielding discrete 70–600 µm particles rather than a connected bulk gel.</w:t>
      </w:r>
    </w:p>
    <w:p>
      <w:pPr>
        <w:pStyle w:val="ListBullet"/>
        <w:spacing w:after="80"/>
        <w:ind w:left="255" w:hanging="113"/>
      </w:pPr>
      <w:r>
        <w:rPr>
          <w:rFonts w:ascii="Aptos" w:hAnsi="Aptos"/>
          <w:b w:val="0"/>
          <w:i w:val="0"/>
          <w:color w:val="13263A"/>
          <w:sz w:val="19"/>
        </w:rPr>
        <w:t>Whether the resulting particle assembly retains useful transport and permeability behaviour.</w:t>
      </w:r>
    </w:p>
    <w:p>
      <w:pPr>
        <w:pStyle w:val="ListBullet"/>
        <w:spacing w:after="80"/>
        <w:ind w:left="255" w:hanging="113"/>
      </w:pPr>
      <w:r>
        <w:rPr>
          <w:rFonts w:ascii="Aptos" w:hAnsi="Aptos"/>
          <w:b w:val="0"/>
          <w:i w:val="0"/>
          <w:color w:val="13263A"/>
          <w:sz w:val="19"/>
        </w:rPr>
        <w:t>Whether one candidate formulation merits subsequent scale-up and relevant-environment validation.</w:t>
      </w:r>
    </w:p>
    <w:p>
      <w:pPr>
        <w:spacing w:before="200" w:after="60"/>
      </w:pPr>
      <w:r>
        <w:rPr>
          <w:rFonts w:ascii="Aptos" w:hAnsi="Aptos"/>
          <w:b/>
          <w:i w:val="0"/>
          <w:color w:val="18A7A0"/>
          <w:sz w:val="16"/>
        </w:rPr>
        <w:t>INVESTMENT LOGIC</w:t>
      </w:r>
    </w:p>
    <w:p>
      <w:pPr>
        <w:spacing w:after="80"/>
      </w:pPr>
      <w:r>
        <w:rPr>
          <w:rFonts w:ascii="Aptos" w:hAnsi="Aptos"/>
          <w:b/>
          <w:i w:val="0"/>
          <w:color w:val="000000"/>
          <w:sz w:val="28"/>
        </w:rPr>
        <w:t>Fund the evidence chain, not a performance promise.</w:t>
      </w:r>
    </w:p>
    <w:p>
      <w:pPr>
        <w:spacing w:after="160"/>
      </w:pPr>
      <w:r>
        <w:rPr>
          <w:rFonts w:ascii="Aptos" w:hAnsi="Aptos"/>
          <w:b w:val="0"/>
          <w:i w:val="0"/>
          <w:color w:val="13263A"/>
          <w:sz w:val="19"/>
        </w:rPr>
        <w:t>The £50,000–£75,000 range supports formulation screening, instrumentation, characterisation, bench-scale transport testing and disciplined down-selection. All numerical performance values remain qualification targets until measured.</w:t>
      </w:r>
    </w:p>
    <w:p>
      <w:r>
        <w:br w:type="page"/>
      </w:r>
    </w:p>
    <w:p>
      <w:pPr>
        <w:pStyle w:val="Eyebrow"/>
        <w:keepNext/>
      </w:pPr>
      <w:r>
        <w:t>02 | TIMELINE</w:t>
      </w:r>
    </w:p>
    <w:p>
      <w:pPr>
        <w:pStyle w:val="Title"/>
        <w:keepNext/>
        <w:jc w:val="left"/>
      </w:pPr>
      <w:r>
        <w:t>Three work blocks. Six months. One integrated decision.</w:t>
      </w:r>
    </w:p>
    <w:p>
      <w:pPr>
        <w:pStyle w:val="Deck"/>
      </w:pPr>
      <w:r>
        <w:t>Activities are sequenced so that expensive transport and permeability work begins only after the chemistry and timing envelope is credible.</w:t>
      </w:r>
    </w:p>
    <w:tbl>
      <w:tblPr>
        <w:tblW w:type="dxa" w:w="9638"/>
        <w:jc w:val="center"/>
        <w:tblLayout w:type="fixed"/>
        <w:tblLook w:firstColumn="1" w:firstRow="1" w:lastColumn="0" w:lastRow="0" w:noHBand="0" w:noVBand="1" w:val="04A0"/>
        <w:tblInd w:w="0" w:type="dxa"/>
      </w:tblPr>
      <w:tblGrid>
        <w:gridCol w:w="680"/>
        <w:gridCol w:w="6123"/>
        <w:gridCol w:w="2835"/>
      </w:tblGrid>
      <w:tr>
        <w:tc>
          <w:tcPr>
            <w:tcW w:type="dxa" w:w="680"/>
            <w:shd w:fill="18A7A0"/>
            <w:tcMar>
              <w:top w:w="120" w:type="dxa"/>
              <w:start w:w="150" w:type="dxa"/>
              <w:bottom w:w="120" w:type="dxa"/>
              <w:end w:w="150" w:type="dxa"/>
            </w:tcMar>
          </w:tcPr>
          <w:p>
            <w:pPr>
              <w:spacing w:after="0"/>
            </w:pPr>
            <w:r>
              <w:rPr>
                <w:rFonts w:ascii="Aptos" w:hAnsi="Aptos"/>
                <w:b/>
                <w:i w:val="0"/>
                <w:color w:val="FFFFFF"/>
                <w:sz w:val="18"/>
              </w:rPr>
              <w:t>01</w:t>
            </w:r>
          </w:p>
        </w:tc>
        <w:tc>
          <w:tcPr>
            <w:tcW w:type="dxa" w:w="6123"/>
            <w:shd w:fill="0C2947"/>
            <w:tcMar>
              <w:top w:w="120" w:type="dxa"/>
              <w:start w:w="150" w:type="dxa"/>
              <w:bottom w:w="120" w:type="dxa"/>
              <w:end w:w="150" w:type="dxa"/>
            </w:tcMar>
          </w:tcPr>
          <w:p>
            <w:pPr>
              <w:spacing w:after="0"/>
            </w:pPr>
            <w:r>
              <w:rPr>
                <w:rFonts w:ascii="Aptos" w:hAnsi="Aptos"/>
                <w:b/>
                <w:i w:val="0"/>
                <w:color w:val="FFFFFF"/>
                <w:sz w:val="18"/>
              </w:rPr>
              <w:t>Formulation &amp; induction window</w:t>
            </w:r>
          </w:p>
        </w:tc>
        <w:tc>
          <w:tcPr>
            <w:tcW w:type="dxa" w:w="2835"/>
            <w:shd w:fill="0C2947"/>
            <w:tcMar>
              <w:top w:w="120" w:type="dxa"/>
              <w:start w:w="150" w:type="dxa"/>
              <w:bottom w:w="120" w:type="dxa"/>
              <w:end w:w="150" w:type="dxa"/>
            </w:tcMar>
          </w:tcPr>
          <w:p>
            <w:pPr>
              <w:spacing w:after="0"/>
              <w:jc w:val="right"/>
            </w:pPr>
            <w:r>
              <w:rPr>
                <w:rFonts w:ascii="Aptos" w:hAnsi="Aptos"/>
                <w:b/>
                <w:i w:val="0"/>
                <w:color w:val="FFFFFF"/>
                <w:sz w:val="18"/>
              </w:rPr>
              <w:t>MONTHS 1–2</w:t>
            </w:r>
          </w:p>
        </w:tc>
      </w:tr>
    </w:tbl>
    <w:p>
      <w:pPr>
        <w:spacing w:before="100" w:after="40"/>
      </w:pPr>
      <w:r>
        <w:rPr>
          <w:rFonts w:ascii="Aptos" w:hAnsi="Aptos"/>
          <w:b w:val="0"/>
          <w:i w:val="0"/>
          <w:color w:val="13263A"/>
          <w:sz w:val="19"/>
        </w:rPr>
        <w:t>Establish candidate ratios around the fixed White Paper V5 chemistry and quantify thermal response, induction time, viscosity, droplet stability and pumpability.</w:t>
      </w:r>
    </w:p>
    <w:p>
      <w:pPr>
        <w:spacing w:after="200"/>
      </w:pPr>
      <w:r>
        <w:rPr>
          <w:rFonts w:ascii="Aptos" w:hAnsi="Aptos"/>
          <w:b/>
          <w:i w:val="0"/>
          <w:color w:val="18A7A0"/>
          <w:sz w:val="16"/>
        </w:rPr>
        <w:t xml:space="preserve">OUTPUTS  </w:t>
      </w:r>
      <w:r>
        <w:rPr>
          <w:rFonts w:ascii="Aptos" w:hAnsi="Aptos"/>
          <w:b w:val="0"/>
          <w:i w:val="0"/>
          <w:color w:val="53697D"/>
          <w:sz w:val="17"/>
        </w:rPr>
        <w:t>Shortlist; thermal-dose model; viscosity map; stability screen; test methods</w:t>
      </w:r>
    </w:p>
    <w:tbl>
      <w:tblPr>
        <w:tblW w:type="dxa" w:w="9638"/>
        <w:jc w:val="center"/>
        <w:tblLayout w:type="fixed"/>
        <w:tblLook w:firstColumn="1" w:firstRow="1" w:lastColumn="0" w:lastRow="0" w:noHBand="0" w:noVBand="1" w:val="04A0"/>
        <w:tblInd w:w="0" w:type="dxa"/>
      </w:tblPr>
      <w:tblGrid>
        <w:gridCol w:w="680"/>
        <w:gridCol w:w="6123"/>
        <w:gridCol w:w="2835"/>
      </w:tblGrid>
      <w:tr>
        <w:tc>
          <w:tcPr>
            <w:tcW w:type="dxa" w:w="680"/>
            <w:shd w:fill="20C8E8"/>
            <w:tcMar>
              <w:top w:w="120" w:type="dxa"/>
              <w:start w:w="150" w:type="dxa"/>
              <w:bottom w:w="120" w:type="dxa"/>
              <w:end w:w="150" w:type="dxa"/>
            </w:tcMar>
          </w:tcPr>
          <w:p>
            <w:pPr>
              <w:spacing w:after="0"/>
            </w:pPr>
            <w:r>
              <w:rPr>
                <w:rFonts w:ascii="Aptos" w:hAnsi="Aptos"/>
                <w:b/>
                <w:i w:val="0"/>
                <w:color w:val="FFFFFF"/>
                <w:sz w:val="18"/>
              </w:rPr>
              <w:t>02</w:t>
            </w:r>
          </w:p>
        </w:tc>
        <w:tc>
          <w:tcPr>
            <w:tcW w:type="dxa" w:w="6123"/>
            <w:shd w:fill="0C2947"/>
            <w:tcMar>
              <w:top w:w="120" w:type="dxa"/>
              <w:start w:w="150" w:type="dxa"/>
              <w:bottom w:w="120" w:type="dxa"/>
              <w:end w:w="150" w:type="dxa"/>
            </w:tcMar>
          </w:tcPr>
          <w:p>
            <w:pPr>
              <w:spacing w:after="0"/>
            </w:pPr>
            <w:r>
              <w:rPr>
                <w:rFonts w:ascii="Aptos" w:hAnsi="Aptos"/>
                <w:b/>
                <w:i w:val="0"/>
                <w:color w:val="FFFFFF"/>
                <w:sz w:val="18"/>
              </w:rPr>
              <w:t>Particle formation &amp; transport</w:t>
            </w:r>
          </w:p>
        </w:tc>
        <w:tc>
          <w:tcPr>
            <w:tcW w:type="dxa" w:w="2835"/>
            <w:shd w:fill="0C2947"/>
            <w:tcMar>
              <w:top w:w="120" w:type="dxa"/>
              <w:start w:w="150" w:type="dxa"/>
              <w:bottom w:w="120" w:type="dxa"/>
              <w:end w:w="150" w:type="dxa"/>
            </w:tcMar>
          </w:tcPr>
          <w:p>
            <w:pPr>
              <w:spacing w:after="0"/>
              <w:jc w:val="right"/>
            </w:pPr>
            <w:r>
              <w:rPr>
                <w:rFonts w:ascii="Aptos" w:hAnsi="Aptos"/>
                <w:b/>
                <w:i w:val="0"/>
                <w:color w:val="FFFFFF"/>
                <w:sz w:val="18"/>
              </w:rPr>
              <w:t>MONTHS 3–4</w:t>
            </w:r>
          </w:p>
        </w:tc>
      </w:tr>
    </w:tbl>
    <w:p>
      <w:pPr>
        <w:spacing w:before="100" w:after="40"/>
      </w:pPr>
      <w:r>
        <w:rPr>
          <w:rFonts w:ascii="Aptos" w:hAnsi="Aptos"/>
          <w:b w:val="0"/>
          <w:i w:val="0"/>
          <w:color w:val="13263A"/>
          <w:sz w:val="19"/>
        </w:rPr>
        <w:t>Optimise particle morphology and size distribution, then test passage through representative packed-bed or porous-media systems.</w:t>
      </w:r>
    </w:p>
    <w:p>
      <w:pPr>
        <w:spacing w:after="200"/>
      </w:pPr>
      <w:r>
        <w:rPr>
          <w:rFonts w:ascii="Aptos" w:hAnsi="Aptos"/>
          <w:b/>
          <w:i w:val="0"/>
          <w:color w:val="18A7A0"/>
          <w:sz w:val="16"/>
        </w:rPr>
        <w:t xml:space="preserve">OUTPUTS  </w:t>
      </w:r>
      <w:r>
        <w:rPr>
          <w:rFonts w:ascii="Aptos" w:hAnsi="Aptos"/>
          <w:b w:val="0"/>
          <w:i w:val="0"/>
          <w:color w:val="53697D"/>
          <w:sz w:val="17"/>
        </w:rPr>
        <w:t>Particle-size distributions; microscopy; agglomeration/fines data; transport response</w:t>
      </w:r>
    </w:p>
    <w:tbl>
      <w:tblPr>
        <w:tblW w:type="dxa" w:w="9638"/>
        <w:jc w:val="center"/>
        <w:tblLayout w:type="fixed"/>
        <w:tblLook w:firstColumn="1" w:firstRow="1" w:lastColumn="0" w:lastRow="0" w:noHBand="0" w:noVBand="1" w:val="04A0"/>
        <w:tblInd w:w="0" w:type="dxa"/>
      </w:tblPr>
      <w:tblGrid>
        <w:gridCol w:w="680"/>
        <w:gridCol w:w="6123"/>
        <w:gridCol w:w="2835"/>
      </w:tblGrid>
      <w:tr>
        <w:tc>
          <w:tcPr>
            <w:tcW w:type="dxa" w:w="680"/>
            <w:shd w:fill="B7E344"/>
            <w:tcMar>
              <w:top w:w="120" w:type="dxa"/>
              <w:start w:w="150" w:type="dxa"/>
              <w:bottom w:w="120" w:type="dxa"/>
              <w:end w:w="150" w:type="dxa"/>
            </w:tcMar>
          </w:tcPr>
          <w:p>
            <w:pPr>
              <w:spacing w:after="0"/>
            </w:pPr>
            <w:r>
              <w:rPr>
                <w:rFonts w:ascii="Aptos" w:hAnsi="Aptos"/>
                <w:b/>
                <w:i w:val="0"/>
                <w:color w:val="FFFFFF"/>
                <w:sz w:val="18"/>
              </w:rPr>
              <w:t>03</w:t>
            </w:r>
          </w:p>
        </w:tc>
        <w:tc>
          <w:tcPr>
            <w:tcW w:type="dxa" w:w="6123"/>
            <w:shd w:fill="0C2947"/>
            <w:tcMar>
              <w:top w:w="120" w:type="dxa"/>
              <w:start w:w="150" w:type="dxa"/>
              <w:bottom w:w="120" w:type="dxa"/>
              <w:end w:w="150" w:type="dxa"/>
            </w:tcMar>
          </w:tcPr>
          <w:p>
            <w:pPr>
              <w:spacing w:after="0"/>
            </w:pPr>
            <w:r>
              <w:rPr>
                <w:rFonts w:ascii="Aptos" w:hAnsi="Aptos"/>
                <w:b/>
                <w:i w:val="0"/>
                <w:color w:val="FFFFFF"/>
                <w:sz w:val="18"/>
              </w:rPr>
              <w:t>Repeatability &amp; operating envelope</w:t>
            </w:r>
          </w:p>
        </w:tc>
        <w:tc>
          <w:tcPr>
            <w:tcW w:type="dxa" w:w="2835"/>
            <w:shd w:fill="0C2947"/>
            <w:tcMar>
              <w:top w:w="120" w:type="dxa"/>
              <w:start w:w="150" w:type="dxa"/>
              <w:bottom w:w="120" w:type="dxa"/>
              <w:end w:w="150" w:type="dxa"/>
            </w:tcMar>
          </w:tcPr>
          <w:p>
            <w:pPr>
              <w:spacing w:after="0"/>
              <w:jc w:val="right"/>
            </w:pPr>
            <w:r>
              <w:rPr>
                <w:rFonts w:ascii="Aptos" w:hAnsi="Aptos"/>
                <w:b/>
                <w:i w:val="0"/>
                <w:color w:val="FFFFFF"/>
                <w:sz w:val="18"/>
              </w:rPr>
              <w:t>MONTHS 5–6</w:t>
            </w:r>
          </w:p>
        </w:tc>
      </w:tr>
    </w:tbl>
    <w:p>
      <w:pPr>
        <w:spacing w:before="100" w:after="40"/>
      </w:pPr>
      <w:r>
        <w:rPr>
          <w:rFonts w:ascii="Aptos" w:hAnsi="Aptos"/>
          <w:b w:val="0"/>
          <w:i w:val="0"/>
          <w:color w:val="13263A"/>
          <w:sz w:val="19"/>
        </w:rPr>
        <w:t>Validate batch repeatability, pressure/permeability response and spatial distribution; lock the candidate formulation and define its safe operating envelope.</w:t>
      </w:r>
    </w:p>
    <w:p>
      <w:pPr>
        <w:spacing w:after="200"/>
      </w:pPr>
      <w:r>
        <w:rPr>
          <w:rFonts w:ascii="Aptos" w:hAnsi="Aptos"/>
          <w:b/>
          <w:i w:val="0"/>
          <w:color w:val="18A7A0"/>
          <w:sz w:val="16"/>
        </w:rPr>
        <w:t xml:space="preserve">OUTPUTS  </w:t>
      </w:r>
      <w:r>
        <w:rPr>
          <w:rFonts w:ascii="Aptos" w:hAnsi="Aptos"/>
          <w:b w:val="0"/>
          <w:i w:val="0"/>
          <w:color w:val="53697D"/>
          <w:sz w:val="17"/>
        </w:rPr>
        <w:t>Locked formulation; SOP; operating envelope; risk register; TRL 4 evidence dossier</w:t>
      </w:r>
    </w:p>
    <w:p>
      <w:pPr>
        <w:pStyle w:val="Heading2"/>
        <w:keepNext/>
      </w:pPr>
      <w:r>
        <w:t>Decision rhythm</w:t>
      </w:r>
    </w:p>
    <w:p>
      <w:r>
        <w:t>Each block closes with a documented review: continue, reformulate, repeat a defined test, or stop. The next block is released only when its entry criteria are met. This protects budget, avoids confirmation bias and preserves traceability.</w:t>
      </w:r>
    </w:p>
    <w:p>
      <w:r>
        <w:br w:type="page"/>
      </w:r>
    </w:p>
    <w:p>
      <w:pPr>
        <w:pStyle w:val="Eyebrow"/>
        <w:keepNext/>
      </w:pPr>
      <w:r>
        <w:t>03 | WORK PROGRAMME</w:t>
      </w:r>
    </w:p>
    <w:p>
      <w:pPr>
        <w:pStyle w:val="Title"/>
        <w:keepNext/>
        <w:jc w:val="left"/>
      </w:pPr>
      <w:r>
        <w:t>What happens in each work block</w:t>
      </w:r>
    </w:p>
    <w:p>
      <w:pPr>
        <w:pStyle w:val="Deck"/>
      </w:pPr>
      <w:r>
        <w:t>A practical sequence built around measurements, reproducibility and explicit release criteria.</w:t>
      </w:r>
    </w:p>
    <w:tbl>
      <w:tblPr>
        <w:tblW w:type="dxa" w:w="9638"/>
        <w:jc w:val="center"/>
        <w:tblLayout w:type="fixed"/>
        <w:tblLook w:firstColumn="1" w:firstRow="1" w:lastColumn="0" w:lastRow="0" w:noHBand="0" w:noVBand="1" w:val="04A0"/>
        <w:tblInd w:w="0" w:type="dxa"/>
        <w:tblBorders>
          <w:top w:val="single" w:sz="5" w:color="C8DCE4"/>
          <w:left w:val="single" w:sz="5" w:color="C8DCE4"/>
          <w:bottom w:val="single" w:sz="5" w:color="C8DCE4"/>
          <w:right w:val="single" w:sz="5" w:color="C8DCE4"/>
          <w:insideH w:val="single" w:sz="5" w:color="C8DCE4"/>
          <w:insideV w:val="single" w:sz="5" w:color="C8DCE4"/>
        </w:tblBorders>
      </w:tblPr>
      <w:tblGrid>
        <w:gridCol w:w="1304"/>
        <w:gridCol w:w="2891"/>
        <w:gridCol w:w="2891"/>
        <w:gridCol w:w="2551"/>
      </w:tblGrid>
      <w:tr>
        <w:trPr>
          <w:tblHeader w:val="true"/>
        </w:trPr>
        <w:tc>
          <w:tcPr>
            <w:tcW w:type="dxa" w:w="1304"/>
            <w:shd w:fill="071B33"/>
            <w:tcMar>
              <w:top w:w="110" w:type="dxa"/>
              <w:start w:w="140" w:type="dxa"/>
              <w:bottom w:w="110" w:type="dxa"/>
              <w:end w:w="140" w:type="dxa"/>
            </w:tcMar>
          </w:tcPr>
          <w:p>
            <w:r>
              <w:rPr>
                <w:rFonts w:ascii="Aptos" w:hAnsi="Aptos"/>
                <w:b/>
                <w:i w:val="0"/>
                <w:color w:val="FFFFFF"/>
                <w:sz w:val="15"/>
              </w:rPr>
              <w:t>PERIOD</w:t>
            </w:r>
          </w:p>
        </w:tc>
        <w:tc>
          <w:tcPr>
            <w:tcW w:type="dxa" w:w="2891"/>
            <w:shd w:fill="071B33"/>
            <w:tcMar>
              <w:top w:w="110" w:type="dxa"/>
              <w:start w:w="140" w:type="dxa"/>
              <w:bottom w:w="110" w:type="dxa"/>
              <w:end w:w="140" w:type="dxa"/>
            </w:tcMar>
          </w:tcPr>
          <w:p>
            <w:r>
              <w:rPr>
                <w:rFonts w:ascii="Aptos" w:hAnsi="Aptos"/>
                <w:b/>
                <w:i w:val="0"/>
                <w:color w:val="FFFFFF"/>
                <w:sz w:val="15"/>
              </w:rPr>
              <w:t>PRIMARY QUESTION</w:t>
            </w:r>
          </w:p>
        </w:tc>
        <w:tc>
          <w:tcPr>
            <w:tcW w:type="dxa" w:w="2891"/>
            <w:shd w:fill="071B33"/>
            <w:tcMar>
              <w:top w:w="110" w:type="dxa"/>
              <w:start w:w="140" w:type="dxa"/>
              <w:bottom w:w="110" w:type="dxa"/>
              <w:end w:w="140" w:type="dxa"/>
            </w:tcMar>
          </w:tcPr>
          <w:p>
            <w:r>
              <w:rPr>
                <w:rFonts w:ascii="Aptos" w:hAnsi="Aptos"/>
                <w:b/>
                <w:i w:val="0"/>
                <w:color w:val="FFFFFF"/>
                <w:sz w:val="15"/>
              </w:rPr>
              <w:t>CORE ACTIVITY</w:t>
            </w:r>
          </w:p>
        </w:tc>
        <w:tc>
          <w:tcPr>
            <w:tcW w:type="dxa" w:w="2551"/>
            <w:shd w:fill="071B33"/>
            <w:tcMar>
              <w:top w:w="110" w:type="dxa"/>
              <w:start w:w="140" w:type="dxa"/>
              <w:bottom w:w="110" w:type="dxa"/>
              <w:end w:w="140" w:type="dxa"/>
            </w:tcMar>
          </w:tcPr>
          <w:p>
            <w:r>
              <w:rPr>
                <w:rFonts w:ascii="Aptos" w:hAnsi="Aptos"/>
                <w:b/>
                <w:i w:val="0"/>
                <w:color w:val="FFFFFF"/>
                <w:sz w:val="15"/>
              </w:rPr>
              <w:t>RELEASE EVIDENCE</w:t>
            </w:r>
          </w:p>
        </w:tc>
      </w:tr>
      <w:tr>
        <w:tc>
          <w:tcPr>
            <w:tcW w:type="dxa" w:w="1304"/>
            <w:shd w:fill="FFFFFF"/>
            <w:tcMar>
              <w:top w:w="130" w:type="dxa"/>
              <w:start w:w="120" w:type="dxa"/>
              <w:bottom w:w="130" w:type="dxa"/>
              <w:end w:w="120" w:type="dxa"/>
            </w:tcMar>
          </w:tcPr>
          <w:p>
            <w:r>
              <w:rPr>
                <w:rFonts w:ascii="Aptos" w:hAnsi="Aptos"/>
                <w:b/>
                <w:i w:val="0"/>
                <w:color w:val="13263A"/>
                <w:sz w:val="16"/>
              </w:rPr>
              <w:t>M1–2</w:t>
            </w:r>
          </w:p>
        </w:tc>
        <w:tc>
          <w:tcPr>
            <w:tcW w:type="dxa" w:w="2891"/>
            <w:shd w:fill="FFFFFF"/>
            <w:tcMar>
              <w:top w:w="130" w:type="dxa"/>
              <w:start w:w="120" w:type="dxa"/>
              <w:bottom w:w="130" w:type="dxa"/>
              <w:end w:w="120" w:type="dxa"/>
            </w:tcMar>
          </w:tcPr>
          <w:p>
            <w:r>
              <w:rPr>
                <w:rFonts w:ascii="Aptos" w:hAnsi="Aptos"/>
                <w:b w:val="0"/>
                <w:i w:val="0"/>
                <w:color w:val="13263A"/>
                <w:sz w:val="16"/>
              </w:rPr>
              <w:t>Can the complete fluid be transported before activation?</w:t>
            </w:r>
          </w:p>
        </w:tc>
        <w:tc>
          <w:tcPr>
            <w:tcW w:type="dxa" w:w="2891"/>
            <w:shd w:fill="FFFFFF"/>
            <w:tcMar>
              <w:top w:w="130" w:type="dxa"/>
              <w:start w:w="120" w:type="dxa"/>
              <w:bottom w:w="130" w:type="dxa"/>
              <w:end w:w="120" w:type="dxa"/>
            </w:tcMar>
          </w:tcPr>
          <w:p>
            <w:r>
              <w:rPr>
                <w:rFonts w:ascii="Aptos" w:hAnsi="Aptos"/>
                <w:b w:val="0"/>
                <w:i w:val="0"/>
                <w:color w:val="13263A"/>
                <w:sz w:val="16"/>
              </w:rPr>
              <w:t>Formulation screening; HP-DSC/thermal analysis; complete-fluid rheology; ageing; droplet stability; pumpability screen.</w:t>
            </w:r>
          </w:p>
        </w:tc>
        <w:tc>
          <w:tcPr>
            <w:tcW w:type="dxa" w:w="2551"/>
            <w:shd w:fill="FFFFFF"/>
            <w:tcMar>
              <w:top w:w="130" w:type="dxa"/>
              <w:start w:w="120" w:type="dxa"/>
              <w:bottom w:w="130" w:type="dxa"/>
              <w:end w:w="120" w:type="dxa"/>
            </w:tcMar>
          </w:tcPr>
          <w:p>
            <w:r>
              <w:rPr>
                <w:rFonts w:ascii="Aptos" w:hAnsi="Aptos"/>
                <w:b w:val="0"/>
                <w:i w:val="0"/>
                <w:color w:val="13263A"/>
                <w:sz w:val="16"/>
              </w:rPr>
              <w:t>Candidate shortlist; repeatable induction response; ≤10 cP target assessed; no premature connected phase.</w:t>
            </w:r>
          </w:p>
        </w:tc>
      </w:tr>
      <w:tr>
        <w:tc>
          <w:tcPr>
            <w:tcW w:type="dxa" w:w="1304"/>
            <w:shd w:fill="F4F8FA"/>
            <w:tcMar>
              <w:top w:w="130" w:type="dxa"/>
              <w:start w:w="120" w:type="dxa"/>
              <w:bottom w:w="130" w:type="dxa"/>
              <w:end w:w="120" w:type="dxa"/>
            </w:tcMar>
          </w:tcPr>
          <w:p>
            <w:r>
              <w:rPr>
                <w:rFonts w:ascii="Aptos" w:hAnsi="Aptos"/>
                <w:b/>
                <w:i w:val="0"/>
                <w:color w:val="13263A"/>
                <w:sz w:val="16"/>
              </w:rPr>
              <w:t>M3–4</w:t>
            </w:r>
          </w:p>
        </w:tc>
        <w:tc>
          <w:tcPr>
            <w:tcW w:type="dxa" w:w="2891"/>
            <w:shd w:fill="F4F8FA"/>
            <w:tcMar>
              <w:top w:w="130" w:type="dxa"/>
              <w:start w:w="120" w:type="dxa"/>
              <w:bottom w:w="130" w:type="dxa"/>
              <w:end w:w="120" w:type="dxa"/>
            </w:tcMar>
          </w:tcPr>
          <w:p>
            <w:r>
              <w:rPr>
                <w:rFonts w:ascii="Aptos" w:hAnsi="Aptos"/>
                <w:b w:val="0"/>
                <w:i w:val="0"/>
                <w:color w:val="13263A"/>
                <w:sz w:val="16"/>
              </w:rPr>
              <w:t>Can delayed conversion produce the right particles without fouling transport paths?</w:t>
            </w:r>
          </w:p>
        </w:tc>
        <w:tc>
          <w:tcPr>
            <w:tcW w:type="dxa" w:w="2891"/>
            <w:shd w:fill="F4F8FA"/>
            <w:tcMar>
              <w:top w:w="130" w:type="dxa"/>
              <w:start w:w="120" w:type="dxa"/>
              <w:bottom w:w="130" w:type="dxa"/>
              <w:end w:w="120" w:type="dxa"/>
            </w:tcMar>
          </w:tcPr>
          <w:p>
            <w:r>
              <w:rPr>
                <w:rFonts w:ascii="Aptos" w:hAnsi="Aptos"/>
                <w:b w:val="0"/>
                <w:i w:val="0"/>
                <w:color w:val="13263A"/>
                <w:sz w:val="16"/>
              </w:rPr>
              <w:t>Particle synthesis; optical/SEM imaging; D10/D50/D90; circularity; agglomeration/fines; packed-bed or porous-media transport.</w:t>
            </w:r>
          </w:p>
        </w:tc>
        <w:tc>
          <w:tcPr>
            <w:tcW w:type="dxa" w:w="2551"/>
            <w:shd w:fill="F4F8FA"/>
            <w:tcMar>
              <w:top w:w="130" w:type="dxa"/>
              <w:start w:w="120" w:type="dxa"/>
              <w:bottom w:w="130" w:type="dxa"/>
              <w:end w:w="120" w:type="dxa"/>
            </w:tcMar>
          </w:tcPr>
          <w:p>
            <w:r>
              <w:rPr>
                <w:rFonts w:ascii="Aptos" w:hAnsi="Aptos"/>
                <w:b w:val="0"/>
                <w:i w:val="0"/>
                <w:color w:val="13263A"/>
                <w:sz w:val="16"/>
              </w:rPr>
              <w:t>Discrete particles; 70–600 µm distribution target assessed; transport evidence; no connected bulk gel.</w:t>
            </w:r>
          </w:p>
        </w:tc>
      </w:tr>
      <w:tr>
        <w:tc>
          <w:tcPr>
            <w:tcW w:type="dxa" w:w="1304"/>
            <w:shd w:fill="FFFFFF"/>
            <w:tcMar>
              <w:top w:w="130" w:type="dxa"/>
              <w:start w:w="120" w:type="dxa"/>
              <w:bottom w:w="130" w:type="dxa"/>
              <w:end w:w="120" w:type="dxa"/>
            </w:tcMar>
          </w:tcPr>
          <w:p>
            <w:r>
              <w:rPr>
                <w:rFonts w:ascii="Aptos" w:hAnsi="Aptos"/>
                <w:b/>
                <w:i w:val="0"/>
                <w:color w:val="13263A"/>
                <w:sz w:val="16"/>
              </w:rPr>
              <w:t>M5–6</w:t>
            </w:r>
          </w:p>
        </w:tc>
        <w:tc>
          <w:tcPr>
            <w:tcW w:type="dxa" w:w="2891"/>
            <w:shd w:fill="FFFFFF"/>
            <w:tcMar>
              <w:top w:w="130" w:type="dxa"/>
              <w:start w:w="120" w:type="dxa"/>
              <w:bottom w:w="130" w:type="dxa"/>
              <w:end w:w="120" w:type="dxa"/>
            </w:tcMar>
          </w:tcPr>
          <w:p>
            <w:r>
              <w:rPr>
                <w:rFonts w:ascii="Aptos" w:hAnsi="Aptos"/>
                <w:b w:val="0"/>
                <w:i w:val="0"/>
                <w:color w:val="13263A"/>
                <w:sz w:val="16"/>
              </w:rPr>
              <w:t>Is performance repeatable and bounded well enough to claim TRL 4?</w:t>
            </w:r>
          </w:p>
        </w:tc>
        <w:tc>
          <w:tcPr>
            <w:tcW w:type="dxa" w:w="2891"/>
            <w:shd w:fill="FFFFFF"/>
            <w:tcMar>
              <w:top w:w="130" w:type="dxa"/>
              <w:start w:w="120" w:type="dxa"/>
              <w:bottom w:w="130" w:type="dxa"/>
              <w:end w:w="120" w:type="dxa"/>
            </w:tcMar>
          </w:tcPr>
          <w:p>
            <w:r>
              <w:rPr>
                <w:rFonts w:ascii="Aptos" w:hAnsi="Aptos"/>
                <w:b w:val="0"/>
                <w:i w:val="0"/>
                <w:color w:val="13263A"/>
                <w:sz w:val="16"/>
              </w:rPr>
              <w:t>Independent batches; pressure/permeability response; spatial distribution; sensitivity analysis; SOP and risk controls.</w:t>
            </w:r>
          </w:p>
        </w:tc>
        <w:tc>
          <w:tcPr>
            <w:tcW w:type="dxa" w:w="2551"/>
            <w:shd w:fill="FFFFFF"/>
            <w:tcMar>
              <w:top w:w="130" w:type="dxa"/>
              <w:start w:w="120" w:type="dxa"/>
              <w:bottom w:w="130" w:type="dxa"/>
              <w:end w:w="120" w:type="dxa"/>
            </w:tcMar>
          </w:tcPr>
          <w:p>
            <w:r>
              <w:rPr>
                <w:rFonts w:ascii="Aptos" w:hAnsi="Aptos"/>
                <w:b w:val="0"/>
                <w:i w:val="0"/>
                <w:color w:val="13263A"/>
                <w:sz w:val="16"/>
              </w:rPr>
              <w:t>Repeatability package; operating envelope; locked formulation; scale-up recommendation.</w:t>
            </w:r>
          </w:p>
        </w:tc>
      </w:tr>
    </w:tbl>
    <w:p>
      <w:pPr>
        <w:pStyle w:val="Heading2"/>
        <w:keepNext/>
      </w:pPr>
      <w:r>
        <w:t>Integrated test principle</w:t>
      </w:r>
    </w:p>
    <w:p>
      <w:pPr>
        <w:spacing w:before="200" w:after="60"/>
      </w:pPr>
      <w:r>
        <w:rPr>
          <w:rFonts w:ascii="Aptos" w:hAnsi="Aptos"/>
          <w:b/>
          <w:i w:val="0"/>
          <w:color w:val="18A7A0"/>
          <w:sz w:val="16"/>
        </w:rPr>
        <w:t>NON-NEGOTIABLE</w:t>
      </w:r>
    </w:p>
    <w:p>
      <w:pPr>
        <w:spacing w:after="80"/>
      </w:pPr>
      <w:r>
        <w:rPr>
          <w:rFonts w:ascii="Aptos" w:hAnsi="Aptos"/>
          <w:b/>
          <w:i w:val="0"/>
          <w:color w:val="000000"/>
          <w:sz w:val="28"/>
        </w:rPr>
        <w:t>The same candidate must pass the combined criteria.</w:t>
      </w:r>
    </w:p>
    <w:p>
      <w:pPr>
        <w:spacing w:after="160"/>
      </w:pPr>
      <w:r>
        <w:rPr>
          <w:rFonts w:ascii="Aptos" w:hAnsi="Aptos"/>
          <w:b w:val="0"/>
          <w:i w:val="0"/>
          <w:color w:val="13263A"/>
          <w:sz w:val="19"/>
        </w:rPr>
        <w:t>A formulation that meets viscosity but fails particle integrity—or produces strong particles but exceeds the transport viscosity limit—does not pass the programme. Isolated success cannot compensate for a failure elsewhere in the system.</w:t>
      </w:r>
    </w:p>
    <w:p>
      <w:r>
        <w:br w:type="page"/>
      </w:r>
    </w:p>
    <w:p>
      <w:pPr>
        <w:pStyle w:val="Eyebrow"/>
        <w:keepNext/>
      </w:pPr>
      <w:r>
        <w:t>04 | CAPABILITY</w:t>
      </w:r>
    </w:p>
    <w:p>
      <w:pPr>
        <w:pStyle w:val="Title"/>
        <w:keepNext/>
        <w:jc w:val="left"/>
      </w:pPr>
      <w:r>
        <w:t>A multidisciplinary delivery model</w:t>
      </w:r>
    </w:p>
    <w:p>
      <w:pPr>
        <w:pStyle w:val="Deck"/>
      </w:pPr>
      <w:r>
        <w:t>The programme combines formulation science with transport physics, particle characterisation and disciplined experimental design.</w:t>
      </w:r>
    </w:p>
    <w:tbl>
      <w:tblPr>
        <w:tblW w:type="dxa" w:w="9638"/>
        <w:jc w:val="center"/>
        <w:tblLayout w:type="fixed"/>
        <w:tblLook w:firstColumn="1" w:firstRow="1" w:lastColumn="0" w:lastRow="0" w:noHBand="0" w:noVBand="1" w:val="04A0"/>
        <w:tblInd w:w="0" w:type="dxa"/>
        <w:tblBorders>
          <w:top w:val="single" w:sz="5" w:color="C8DCE4"/>
          <w:left w:val="single" w:sz="5" w:color="C8DCE4"/>
          <w:bottom w:val="single" w:sz="5" w:color="C8DCE4"/>
          <w:right w:val="single" w:sz="5" w:color="C8DCE4"/>
          <w:insideH w:val="single" w:sz="5" w:color="C8DCE4"/>
          <w:insideV w:val="single" w:sz="5" w:color="C8DCE4"/>
        </w:tblBorders>
      </w:tblPr>
      <w:tblGrid>
        <w:gridCol w:w="2608"/>
        <w:gridCol w:w="4025"/>
        <w:gridCol w:w="3005"/>
      </w:tblGrid>
      <w:tr>
        <w:trPr>
          <w:tblHeader w:val="true"/>
        </w:trPr>
        <w:tc>
          <w:tcPr>
            <w:tcW w:type="dxa" w:w="2608"/>
            <w:shd w:fill="071B33"/>
            <w:tcMar>
              <w:top w:w="110" w:type="dxa"/>
              <w:start w:w="140" w:type="dxa"/>
              <w:bottom w:w="110" w:type="dxa"/>
              <w:end w:w="140" w:type="dxa"/>
            </w:tcMar>
          </w:tcPr>
          <w:p>
            <w:r>
              <w:rPr>
                <w:rFonts w:ascii="Aptos" w:hAnsi="Aptos"/>
                <w:b/>
                <w:i w:val="0"/>
                <w:color w:val="FFFFFF"/>
                <w:sz w:val="15"/>
              </w:rPr>
              <w:t>CAPABILITY</w:t>
            </w:r>
          </w:p>
        </w:tc>
        <w:tc>
          <w:tcPr>
            <w:tcW w:type="dxa" w:w="4025"/>
            <w:shd w:fill="071B33"/>
            <w:tcMar>
              <w:top w:w="110" w:type="dxa"/>
              <w:start w:w="140" w:type="dxa"/>
              <w:bottom w:w="110" w:type="dxa"/>
              <w:end w:w="140" w:type="dxa"/>
            </w:tcMar>
          </w:tcPr>
          <w:p>
            <w:r>
              <w:rPr>
                <w:rFonts w:ascii="Aptos" w:hAnsi="Aptos"/>
                <w:b/>
                <w:i w:val="0"/>
                <w:color w:val="FFFFFF"/>
                <w:sz w:val="15"/>
              </w:rPr>
              <w:t>ROLE IN DISE</w:t>
            </w:r>
          </w:p>
        </w:tc>
        <w:tc>
          <w:tcPr>
            <w:tcW w:type="dxa" w:w="3005"/>
            <w:shd w:fill="071B33"/>
            <w:tcMar>
              <w:top w:w="110" w:type="dxa"/>
              <w:start w:w="140" w:type="dxa"/>
              <w:bottom w:w="110" w:type="dxa"/>
              <w:end w:w="140" w:type="dxa"/>
            </w:tcMar>
          </w:tcPr>
          <w:p>
            <w:r>
              <w:rPr>
                <w:rFonts w:ascii="Aptos" w:hAnsi="Aptos"/>
                <w:b/>
                <w:i w:val="0"/>
                <w:color w:val="FFFFFF"/>
                <w:sz w:val="15"/>
              </w:rPr>
              <w:t>REPRESENTATIVE OUTPUT</w:t>
            </w:r>
          </w:p>
        </w:tc>
      </w:tr>
      <w:tr>
        <w:tc>
          <w:tcPr>
            <w:tcW w:type="dxa" w:w="2608"/>
            <w:shd w:fill="FFFFFF"/>
            <w:tcMar>
              <w:top w:w="105" w:type="dxa"/>
              <w:start w:w="120" w:type="dxa"/>
              <w:bottom w:w="105" w:type="dxa"/>
              <w:end w:w="120" w:type="dxa"/>
            </w:tcMar>
          </w:tcPr>
          <w:p>
            <w:r>
              <w:rPr>
                <w:rFonts w:ascii="Aptos" w:hAnsi="Aptos"/>
                <w:b/>
                <w:i w:val="0"/>
                <w:color w:val="13263A"/>
                <w:sz w:val="16"/>
              </w:rPr>
              <w:t>Formulation &amp; materials science</w:t>
            </w:r>
          </w:p>
        </w:tc>
        <w:tc>
          <w:tcPr>
            <w:tcW w:type="dxa" w:w="4025"/>
            <w:shd w:fill="FFFFFF"/>
            <w:tcMar>
              <w:top w:w="105" w:type="dxa"/>
              <w:start w:w="120" w:type="dxa"/>
              <w:bottom w:w="105" w:type="dxa"/>
              <w:end w:w="120" w:type="dxa"/>
            </w:tcMar>
          </w:tcPr>
          <w:p>
            <w:r>
              <w:rPr>
                <w:rFonts w:ascii="Aptos" w:hAnsi="Aptos"/>
                <w:b w:val="0"/>
                <w:i w:val="0"/>
                <w:color w:val="13263A"/>
                <w:sz w:val="16"/>
              </w:rPr>
              <w:t>Design the reactive and continuous phases; control interfaces, compatibility and storage separation.</w:t>
            </w:r>
          </w:p>
        </w:tc>
        <w:tc>
          <w:tcPr>
            <w:tcW w:type="dxa" w:w="3005"/>
            <w:shd w:fill="FFFFFF"/>
            <w:tcMar>
              <w:top w:w="105" w:type="dxa"/>
              <w:start w:w="120" w:type="dxa"/>
              <w:bottom w:w="105" w:type="dxa"/>
              <w:end w:w="120" w:type="dxa"/>
            </w:tcMar>
          </w:tcPr>
          <w:p>
            <w:r>
              <w:rPr>
                <w:rFonts w:ascii="Aptos" w:hAnsi="Aptos"/>
                <w:b w:val="0"/>
                <w:i w:val="0"/>
                <w:color w:val="13263A"/>
                <w:sz w:val="16"/>
              </w:rPr>
              <w:t>Candidate matrix and down-selection rationale</w:t>
            </w:r>
          </w:p>
        </w:tc>
      </w:tr>
      <w:tr>
        <w:tc>
          <w:tcPr>
            <w:tcW w:type="dxa" w:w="2608"/>
            <w:shd w:fill="F4F8FA"/>
            <w:tcMar>
              <w:top w:w="105" w:type="dxa"/>
              <w:start w:w="120" w:type="dxa"/>
              <w:bottom w:w="105" w:type="dxa"/>
              <w:end w:w="120" w:type="dxa"/>
            </w:tcMar>
          </w:tcPr>
          <w:p>
            <w:r>
              <w:rPr>
                <w:rFonts w:ascii="Aptos" w:hAnsi="Aptos"/>
                <w:b/>
                <w:i w:val="0"/>
                <w:color w:val="13263A"/>
                <w:sz w:val="16"/>
              </w:rPr>
              <w:t>Polymerisation kinetics &amp; thermal analysis</w:t>
            </w:r>
          </w:p>
        </w:tc>
        <w:tc>
          <w:tcPr>
            <w:tcW w:type="dxa" w:w="4025"/>
            <w:shd w:fill="F4F8FA"/>
            <w:tcMar>
              <w:top w:w="105" w:type="dxa"/>
              <w:start w:w="120" w:type="dxa"/>
              <w:bottom w:w="105" w:type="dxa"/>
              <w:end w:w="120" w:type="dxa"/>
            </w:tcMar>
          </w:tcPr>
          <w:p>
            <w:r>
              <w:rPr>
                <w:rFonts w:ascii="Aptos" w:hAnsi="Aptos"/>
                <w:b w:val="0"/>
                <w:i w:val="0"/>
                <w:color w:val="13263A"/>
                <w:sz w:val="16"/>
              </w:rPr>
              <w:t>Translate time–temperature exposure into induction and cure behaviour.</w:t>
            </w:r>
          </w:p>
        </w:tc>
        <w:tc>
          <w:tcPr>
            <w:tcW w:type="dxa" w:w="3005"/>
            <w:shd w:fill="F4F8FA"/>
            <w:tcMar>
              <w:top w:w="105" w:type="dxa"/>
              <w:start w:w="120" w:type="dxa"/>
              <w:bottom w:w="105" w:type="dxa"/>
              <w:end w:w="120" w:type="dxa"/>
            </w:tcMar>
          </w:tcPr>
          <w:p>
            <w:r>
              <w:rPr>
                <w:rFonts w:ascii="Aptos" w:hAnsi="Aptos"/>
                <w:b w:val="0"/>
                <w:i w:val="0"/>
                <w:color w:val="13263A"/>
                <w:sz w:val="16"/>
              </w:rPr>
              <w:t>Thermal-dose model and induction window</w:t>
            </w:r>
          </w:p>
        </w:tc>
      </w:tr>
      <w:tr>
        <w:tc>
          <w:tcPr>
            <w:tcW w:type="dxa" w:w="2608"/>
            <w:shd w:fill="FFFFFF"/>
            <w:tcMar>
              <w:top w:w="105" w:type="dxa"/>
              <w:start w:w="120" w:type="dxa"/>
              <w:bottom w:w="105" w:type="dxa"/>
              <w:end w:w="120" w:type="dxa"/>
            </w:tcMar>
          </w:tcPr>
          <w:p>
            <w:r>
              <w:rPr>
                <w:rFonts w:ascii="Aptos" w:hAnsi="Aptos"/>
                <w:b/>
                <w:i w:val="0"/>
                <w:color w:val="13263A"/>
                <w:sz w:val="16"/>
              </w:rPr>
              <w:t>Rheology &amp; pumpability</w:t>
            </w:r>
          </w:p>
        </w:tc>
        <w:tc>
          <w:tcPr>
            <w:tcW w:type="dxa" w:w="4025"/>
            <w:shd w:fill="FFFFFF"/>
            <w:tcMar>
              <w:top w:w="105" w:type="dxa"/>
              <w:start w:w="120" w:type="dxa"/>
              <w:bottom w:w="105" w:type="dxa"/>
              <w:end w:w="120" w:type="dxa"/>
            </w:tcMar>
          </w:tcPr>
          <w:p>
            <w:r>
              <w:rPr>
                <w:rFonts w:ascii="Aptos" w:hAnsi="Aptos"/>
                <w:b w:val="0"/>
                <w:i w:val="0"/>
                <w:color w:val="13263A"/>
                <w:sz w:val="16"/>
              </w:rPr>
              <w:t>Measure the complete fluid under relevant shear, ageing and temperature conditions.</w:t>
            </w:r>
          </w:p>
        </w:tc>
        <w:tc>
          <w:tcPr>
            <w:tcW w:type="dxa" w:w="3005"/>
            <w:shd w:fill="FFFFFF"/>
            <w:tcMar>
              <w:top w:w="105" w:type="dxa"/>
              <w:start w:w="120" w:type="dxa"/>
              <w:bottom w:w="105" w:type="dxa"/>
              <w:end w:w="120" w:type="dxa"/>
            </w:tcMar>
          </w:tcPr>
          <w:p>
            <w:r>
              <w:rPr>
                <w:rFonts w:ascii="Aptos" w:hAnsi="Aptos"/>
                <w:b w:val="0"/>
                <w:i w:val="0"/>
                <w:color w:val="13263A"/>
                <w:sz w:val="16"/>
              </w:rPr>
              <w:t>Viscosity envelope and hold/flush limits</w:t>
            </w:r>
          </w:p>
        </w:tc>
      </w:tr>
      <w:tr>
        <w:tc>
          <w:tcPr>
            <w:tcW w:type="dxa" w:w="2608"/>
            <w:shd w:fill="F4F8FA"/>
            <w:tcMar>
              <w:top w:w="105" w:type="dxa"/>
              <w:start w:w="120" w:type="dxa"/>
              <w:bottom w:w="105" w:type="dxa"/>
              <w:end w:w="120" w:type="dxa"/>
            </w:tcMar>
          </w:tcPr>
          <w:p>
            <w:r>
              <w:rPr>
                <w:rFonts w:ascii="Aptos" w:hAnsi="Aptos"/>
                <w:b/>
                <w:i w:val="0"/>
                <w:color w:val="13263A"/>
                <w:sz w:val="16"/>
              </w:rPr>
              <w:t>Microscopy &amp; particle analysis</w:t>
            </w:r>
          </w:p>
        </w:tc>
        <w:tc>
          <w:tcPr>
            <w:tcW w:type="dxa" w:w="4025"/>
            <w:shd w:fill="F4F8FA"/>
            <w:tcMar>
              <w:top w:w="105" w:type="dxa"/>
              <w:start w:w="120" w:type="dxa"/>
              <w:bottom w:w="105" w:type="dxa"/>
              <w:end w:w="120" w:type="dxa"/>
            </w:tcMar>
          </w:tcPr>
          <w:p>
            <w:r>
              <w:rPr>
                <w:rFonts w:ascii="Aptos" w:hAnsi="Aptos"/>
                <w:b w:val="0"/>
                <w:i w:val="0"/>
                <w:color w:val="13263A"/>
                <w:sz w:val="16"/>
              </w:rPr>
              <w:t>Quantify morphology, size distribution, circularity, agglomeration and fines.</w:t>
            </w:r>
          </w:p>
        </w:tc>
        <w:tc>
          <w:tcPr>
            <w:tcW w:type="dxa" w:w="3005"/>
            <w:shd w:fill="F4F8FA"/>
            <w:tcMar>
              <w:top w:w="105" w:type="dxa"/>
              <w:start w:w="120" w:type="dxa"/>
              <w:bottom w:w="105" w:type="dxa"/>
              <w:end w:w="120" w:type="dxa"/>
            </w:tcMar>
          </w:tcPr>
          <w:p>
            <w:r>
              <w:rPr>
                <w:rFonts w:ascii="Aptos" w:hAnsi="Aptos"/>
                <w:b w:val="0"/>
                <w:i w:val="0"/>
                <w:color w:val="13263A"/>
                <w:sz w:val="16"/>
              </w:rPr>
              <w:t>Image set and particle-quality dataset</w:t>
            </w:r>
          </w:p>
        </w:tc>
      </w:tr>
      <w:tr>
        <w:tc>
          <w:tcPr>
            <w:tcW w:type="dxa" w:w="2608"/>
            <w:shd w:fill="FFFFFF"/>
            <w:tcMar>
              <w:top w:w="105" w:type="dxa"/>
              <w:start w:w="120" w:type="dxa"/>
              <w:bottom w:w="105" w:type="dxa"/>
              <w:end w:w="120" w:type="dxa"/>
            </w:tcMar>
          </w:tcPr>
          <w:p>
            <w:r>
              <w:rPr>
                <w:rFonts w:ascii="Aptos" w:hAnsi="Aptos"/>
                <w:b/>
                <w:i w:val="0"/>
                <w:color w:val="13263A"/>
                <w:sz w:val="16"/>
              </w:rPr>
              <w:t>Porous-media flow &amp; pressure response</w:t>
            </w:r>
          </w:p>
        </w:tc>
        <w:tc>
          <w:tcPr>
            <w:tcW w:type="dxa" w:w="4025"/>
            <w:shd w:fill="FFFFFF"/>
            <w:tcMar>
              <w:top w:w="105" w:type="dxa"/>
              <w:start w:w="120" w:type="dxa"/>
              <w:bottom w:w="105" w:type="dxa"/>
              <w:end w:w="120" w:type="dxa"/>
            </w:tcMar>
          </w:tcPr>
          <w:p>
            <w:r>
              <w:rPr>
                <w:rFonts w:ascii="Aptos" w:hAnsi="Aptos"/>
                <w:b w:val="0"/>
                <w:i w:val="0"/>
                <w:color w:val="13263A"/>
                <w:sz w:val="16"/>
              </w:rPr>
              <w:t>Assess passage, placement and retained flow using representative bench systems.</w:t>
            </w:r>
          </w:p>
        </w:tc>
        <w:tc>
          <w:tcPr>
            <w:tcW w:type="dxa" w:w="3005"/>
            <w:shd w:fill="FFFFFF"/>
            <w:tcMar>
              <w:top w:w="105" w:type="dxa"/>
              <w:start w:w="120" w:type="dxa"/>
              <w:bottom w:w="105" w:type="dxa"/>
              <w:end w:w="120" w:type="dxa"/>
            </w:tcMar>
          </w:tcPr>
          <w:p>
            <w:r>
              <w:rPr>
                <w:rFonts w:ascii="Aptos" w:hAnsi="Aptos"/>
                <w:b w:val="0"/>
                <w:i w:val="0"/>
                <w:color w:val="13263A"/>
                <w:sz w:val="16"/>
              </w:rPr>
              <w:t>Pressure traces, distribution and permeability response</w:t>
            </w:r>
          </w:p>
        </w:tc>
      </w:tr>
      <w:tr>
        <w:tc>
          <w:tcPr>
            <w:tcW w:type="dxa" w:w="2608"/>
            <w:shd w:fill="F4F8FA"/>
            <w:tcMar>
              <w:top w:w="105" w:type="dxa"/>
              <w:start w:w="120" w:type="dxa"/>
              <w:bottom w:w="105" w:type="dxa"/>
              <w:end w:w="120" w:type="dxa"/>
            </w:tcMar>
          </w:tcPr>
          <w:p>
            <w:r>
              <w:rPr>
                <w:rFonts w:ascii="Aptos" w:hAnsi="Aptos"/>
                <w:b/>
                <w:i w:val="0"/>
                <w:color w:val="13263A"/>
                <w:sz w:val="16"/>
              </w:rPr>
              <w:t>Experimental design &amp; data analysis</w:t>
            </w:r>
          </w:p>
        </w:tc>
        <w:tc>
          <w:tcPr>
            <w:tcW w:type="dxa" w:w="4025"/>
            <w:shd w:fill="F4F8FA"/>
            <w:tcMar>
              <w:top w:w="105" w:type="dxa"/>
              <w:start w:w="120" w:type="dxa"/>
              <w:bottom w:w="105" w:type="dxa"/>
              <w:end w:w="120" w:type="dxa"/>
            </w:tcMar>
          </w:tcPr>
          <w:p>
            <w:r>
              <w:rPr>
                <w:rFonts w:ascii="Aptos" w:hAnsi="Aptos"/>
                <w:b w:val="0"/>
                <w:i w:val="0"/>
                <w:color w:val="13263A"/>
                <w:sz w:val="16"/>
              </w:rPr>
              <w:t>Control variables, replication, uncertainty and decision rules.</w:t>
            </w:r>
          </w:p>
        </w:tc>
        <w:tc>
          <w:tcPr>
            <w:tcW w:type="dxa" w:w="3005"/>
            <w:shd w:fill="F4F8FA"/>
            <w:tcMar>
              <w:top w:w="105" w:type="dxa"/>
              <w:start w:w="120" w:type="dxa"/>
              <w:bottom w:w="105" w:type="dxa"/>
              <w:end w:w="120" w:type="dxa"/>
            </w:tcMar>
          </w:tcPr>
          <w:p>
            <w:r>
              <w:rPr>
                <w:rFonts w:ascii="Aptos" w:hAnsi="Aptos"/>
                <w:b w:val="0"/>
                <w:i w:val="0"/>
                <w:color w:val="13263A"/>
                <w:sz w:val="16"/>
              </w:rPr>
              <w:t>Auditable evidence package and statistics</w:t>
            </w:r>
          </w:p>
        </w:tc>
      </w:tr>
    </w:tbl>
    <w:p>
      <w:pPr>
        <w:pStyle w:val="Heading2"/>
        <w:keepNext/>
      </w:pPr>
      <w:r>
        <w:t>Delivery environment</w:t>
      </w:r>
    </w:p>
    <w:p>
      <w:r>
        <w:t>UEL provides the multidisciplinary academic environment and laboratory base for the programme. Specialist analytical or high-pressure work may be commissioned externally where this improves technical quality, safety or value. Named personnel, facility time and external-provider scope should be confirmed at mobilisation.</w:t>
      </w:r>
    </w:p>
    <w:p>
      <w:r>
        <w:br w:type="page"/>
      </w:r>
    </w:p>
    <w:p>
      <w:pPr>
        <w:pStyle w:val="Eyebrow"/>
        <w:keepNext/>
      </w:pPr>
      <w:r>
        <w:t>05 | COSTS</w:t>
      </w:r>
    </w:p>
    <w:p>
      <w:pPr>
        <w:pStyle w:val="Title"/>
        <w:keepNext/>
        <w:jc w:val="left"/>
      </w:pPr>
      <w:r>
        <w:t>Indicative programme envelope</w:t>
      </w:r>
    </w:p>
    <w:p>
      <w:pPr>
        <w:pStyle w:val="Title"/>
        <w:keepNext/>
        <w:spacing w:after="200"/>
        <w:jc w:val="left"/>
      </w:pPr>
      <w:r>
        <w:rPr>
          <w:rFonts w:ascii="Aptos" w:hAnsi="Aptos"/>
          <w:b/>
          <w:i w:val="0"/>
          <w:color w:val="000000"/>
          <w:sz w:val="54"/>
        </w:rPr>
        <w:t>£50,000 to £75,000</w:t>
      </w:r>
    </w:p>
    <w:p>
      <w:pPr>
        <w:pStyle w:val="Deck"/>
      </w:pPr>
      <w:r>
        <w:t>A transparent planning range aligned to the six-month TRL 3→4 scope. Final values depend on agreed test density, facility access and supplier quotations.</w:t>
      </w:r>
    </w:p>
    <w:tbl>
      <w:tblPr>
        <w:tblW w:type="dxa" w:w="9638"/>
        <w:jc w:val="center"/>
        <w:tblLayout w:type="fixed"/>
        <w:tblLook w:firstColumn="1" w:firstRow="1" w:lastColumn="0" w:lastRow="0" w:noHBand="0" w:noVBand="1" w:val="04A0"/>
        <w:tblInd w:w="0" w:type="dxa"/>
        <w:tblBorders>
          <w:top w:val="single" w:sz="4" w:color="C8DCE4"/>
          <w:left w:val="single" w:sz="4" w:color="C8DCE4"/>
          <w:bottom w:val="single" w:sz="4" w:color="C8DCE4"/>
          <w:right w:val="single" w:sz="4" w:color="C8DCE4"/>
          <w:insideH w:val="single" w:sz="4" w:color="C8DCE4"/>
          <w:insideV w:val="single" w:sz="4" w:color="C8DCE4"/>
        </w:tblBorders>
      </w:tblPr>
      <w:tblGrid>
        <w:gridCol w:w="3213"/>
        <w:gridCol w:w="3213"/>
        <w:gridCol w:w="3213"/>
      </w:tblGrid>
      <w:tr>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071B33"/>
                <w:sz w:val="44"/>
              </w:rPr>
              <w:t>£50k</w:t>
            </w:r>
          </w:p>
          <w:p>
            <w:pPr>
              <w:spacing w:after="0"/>
              <w:jc w:val="center"/>
            </w:pPr>
            <w:r>
              <w:rPr>
                <w:rFonts w:ascii="Aptos" w:hAnsi="Aptos"/>
                <w:b/>
                <w:i w:val="0"/>
                <w:color w:val="53697D"/>
                <w:sz w:val="14"/>
              </w:rPr>
              <w:t>LEAN EVIDENCE PLAN</w:t>
            </w:r>
          </w:p>
        </w:tc>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18A7A0"/>
                <w:sz w:val="44"/>
              </w:rPr>
              <w:t>£62.5k</w:t>
            </w:r>
          </w:p>
          <w:p>
            <w:pPr>
              <w:spacing w:after="0"/>
              <w:jc w:val="center"/>
            </w:pPr>
            <w:r>
              <w:rPr>
                <w:rFonts w:ascii="Aptos" w:hAnsi="Aptos"/>
                <w:b/>
                <w:i w:val="0"/>
                <w:color w:val="53697D"/>
                <w:sz w:val="14"/>
              </w:rPr>
              <w:t>PLANNING MIDPOINT</w:t>
            </w:r>
          </w:p>
        </w:tc>
        <w:tc>
          <w:tcPr>
            <w:tcW w:type="dxa" w:w="3213"/>
            <w:shd w:fill="F4F8FA"/>
            <w:tcMar>
              <w:top w:w="180" w:type="dxa"/>
              <w:start w:w="160" w:type="dxa"/>
              <w:bottom w:w="160" w:type="dxa"/>
              <w:end w:w="160" w:type="dxa"/>
            </w:tcMar>
            <w:vAlign w:val="center"/>
          </w:tcPr>
          <w:p>
            <w:pPr>
              <w:spacing w:after="40"/>
              <w:jc w:val="center"/>
            </w:pPr>
            <w:r>
              <w:rPr>
                <w:rFonts w:ascii="Aptos" w:hAnsi="Aptos"/>
                <w:b/>
                <w:i w:val="0"/>
                <w:color w:val="071B33"/>
                <w:sz w:val="44"/>
              </w:rPr>
              <w:t>£75k</w:t>
            </w:r>
          </w:p>
          <w:p>
            <w:pPr>
              <w:spacing w:after="0"/>
              <w:jc w:val="center"/>
            </w:pPr>
            <w:r>
              <w:rPr>
                <w:rFonts w:ascii="Aptos" w:hAnsi="Aptos"/>
                <w:b/>
                <w:i w:val="0"/>
                <w:color w:val="53697D"/>
                <w:sz w:val="14"/>
              </w:rPr>
              <w:t>ENHANCED TEST DENSITY</w:t>
            </w:r>
          </w:p>
        </w:tc>
      </w:tr>
    </w:tbl>
    <w:tbl>
      <w:tblPr>
        <w:tblW w:type="dxa" w:w="9638"/>
        <w:jc w:val="center"/>
        <w:tblLayout w:type="fixed"/>
        <w:tblLook w:firstColumn="1" w:firstRow="1" w:lastColumn="0" w:lastRow="0" w:noHBand="0" w:noVBand="1" w:val="04A0"/>
        <w:tblInd w:w="0" w:type="dxa"/>
        <w:tblBorders>
          <w:top w:val="single" w:sz="5" w:color="C8DCE4"/>
          <w:left w:val="single" w:sz="5" w:color="C8DCE4"/>
          <w:bottom w:val="single" w:sz="5" w:color="C8DCE4"/>
          <w:right w:val="single" w:sz="5" w:color="C8DCE4"/>
          <w:insideH w:val="single" w:sz="5" w:color="C8DCE4"/>
          <w:insideV w:val="single" w:sz="5" w:color="C8DCE4"/>
        </w:tblBorders>
      </w:tblPr>
      <w:tblGrid>
        <w:gridCol w:w="2948"/>
        <w:gridCol w:w="1701"/>
        <w:gridCol w:w="1701"/>
        <w:gridCol w:w="3288"/>
      </w:tblGrid>
      <w:tr>
        <w:trPr>
          <w:tblHeader w:val="true"/>
        </w:trPr>
        <w:tc>
          <w:tcPr>
            <w:tcW w:type="dxa" w:w="2948"/>
            <w:shd w:fill="071B33"/>
            <w:tcMar>
              <w:top w:w="110" w:type="dxa"/>
              <w:start w:w="140" w:type="dxa"/>
              <w:bottom w:w="110" w:type="dxa"/>
              <w:end w:w="140" w:type="dxa"/>
            </w:tcMar>
          </w:tcPr>
          <w:p>
            <w:r>
              <w:rPr>
                <w:rFonts w:ascii="Aptos" w:hAnsi="Aptos"/>
                <w:b/>
                <w:i w:val="0"/>
                <w:color w:val="FFFFFF"/>
                <w:sz w:val="15"/>
              </w:rPr>
              <w:t>COST CATEGORY</w:t>
            </w:r>
          </w:p>
        </w:tc>
        <w:tc>
          <w:tcPr>
            <w:tcW w:type="dxa" w:w="1701"/>
            <w:shd w:fill="071B33"/>
            <w:tcMar>
              <w:top w:w="110" w:type="dxa"/>
              <w:start w:w="140" w:type="dxa"/>
              <w:bottom w:w="110" w:type="dxa"/>
              <w:end w:w="140" w:type="dxa"/>
            </w:tcMar>
          </w:tcPr>
          <w:p>
            <w:r>
              <w:rPr>
                <w:rFonts w:ascii="Aptos" w:hAnsi="Aptos"/>
                <w:b/>
                <w:i w:val="0"/>
                <w:color w:val="FFFFFF"/>
                <w:sz w:val="15"/>
              </w:rPr>
              <w:t>LOW</w:t>
            </w:r>
          </w:p>
        </w:tc>
        <w:tc>
          <w:tcPr>
            <w:tcW w:type="dxa" w:w="1701"/>
            <w:shd w:fill="071B33"/>
            <w:tcMar>
              <w:top w:w="110" w:type="dxa"/>
              <w:start w:w="140" w:type="dxa"/>
              <w:bottom w:w="110" w:type="dxa"/>
              <w:end w:w="140" w:type="dxa"/>
            </w:tcMar>
          </w:tcPr>
          <w:p>
            <w:r>
              <w:rPr>
                <w:rFonts w:ascii="Aptos" w:hAnsi="Aptos"/>
                <w:b/>
                <w:i w:val="0"/>
                <w:color w:val="FFFFFF"/>
                <w:sz w:val="15"/>
              </w:rPr>
              <w:t>HIGH</w:t>
            </w:r>
          </w:p>
        </w:tc>
        <w:tc>
          <w:tcPr>
            <w:tcW w:type="dxa" w:w="3288"/>
            <w:shd w:fill="071B33"/>
            <w:tcMar>
              <w:top w:w="110" w:type="dxa"/>
              <w:start w:w="140" w:type="dxa"/>
              <w:bottom w:w="110" w:type="dxa"/>
              <w:end w:w="140" w:type="dxa"/>
            </w:tcMar>
          </w:tcPr>
          <w:p>
            <w:r>
              <w:rPr>
                <w:rFonts w:ascii="Aptos" w:hAnsi="Aptos"/>
                <w:b/>
                <w:i w:val="0"/>
                <w:color w:val="FFFFFF"/>
                <w:sz w:val="15"/>
              </w:rPr>
              <w:t>WHAT IT ENABLES</w:t>
            </w:r>
          </w:p>
        </w:tc>
      </w:tr>
      <w:tr>
        <w:tc>
          <w:tcPr>
            <w:tcW w:type="dxa" w:w="2948"/>
            <w:shd w:fill="FFFFFF"/>
            <w:tcMar>
              <w:top w:w="100" w:type="dxa"/>
              <w:start w:w="110" w:type="dxa"/>
              <w:bottom w:w="100" w:type="dxa"/>
              <w:end w:w="110" w:type="dxa"/>
            </w:tcMar>
          </w:tcPr>
          <w:p>
            <w:r>
              <w:rPr>
                <w:rFonts w:ascii="Aptos" w:hAnsi="Aptos"/>
                <w:b/>
                <w:i w:val="0"/>
                <w:color w:val="13263A"/>
                <w:sz w:val="16"/>
              </w:rPr>
              <w:t>Researcher &amp; technical time</w:t>
            </w:r>
          </w:p>
        </w:tc>
        <w:tc>
          <w:tcPr>
            <w:tcW w:type="dxa" w:w="1701"/>
            <w:shd w:fill="FFFFFF"/>
            <w:tcMar>
              <w:top w:w="100" w:type="dxa"/>
              <w:start w:w="110" w:type="dxa"/>
              <w:bottom w:w="100" w:type="dxa"/>
              <w:end w:w="110" w:type="dxa"/>
            </w:tcMar>
          </w:tcPr>
          <w:p>
            <w:r>
              <w:rPr>
                <w:rFonts w:ascii="Aptos" w:hAnsi="Aptos"/>
                <w:b w:val="0"/>
                <w:i w:val="0"/>
                <w:color w:val="13263A"/>
                <w:sz w:val="16"/>
              </w:rPr>
              <w:t>£20,000</w:t>
            </w:r>
          </w:p>
        </w:tc>
        <w:tc>
          <w:tcPr>
            <w:tcW w:type="dxa" w:w="1701"/>
            <w:shd w:fill="FFFFFF"/>
            <w:tcMar>
              <w:top w:w="100" w:type="dxa"/>
              <w:start w:w="110" w:type="dxa"/>
              <w:bottom w:w="100" w:type="dxa"/>
              <w:end w:w="110" w:type="dxa"/>
            </w:tcMar>
          </w:tcPr>
          <w:p>
            <w:r>
              <w:rPr>
                <w:rFonts w:ascii="Aptos" w:hAnsi="Aptos"/>
                <w:b w:val="0"/>
                <w:i w:val="0"/>
                <w:color w:val="13263A"/>
                <w:sz w:val="16"/>
              </w:rPr>
              <w:t>£30,000</w:t>
            </w:r>
          </w:p>
        </w:tc>
        <w:tc>
          <w:tcPr>
            <w:tcW w:type="dxa" w:w="3288"/>
            <w:shd w:fill="FFFFFF"/>
            <w:tcMar>
              <w:top w:w="100" w:type="dxa"/>
              <w:start w:w="110" w:type="dxa"/>
              <w:bottom w:w="100" w:type="dxa"/>
              <w:end w:w="110" w:type="dxa"/>
            </w:tcMar>
          </w:tcPr>
          <w:p>
            <w:r>
              <w:rPr>
                <w:rFonts w:ascii="Aptos" w:hAnsi="Aptos"/>
                <w:b w:val="0"/>
                <w:i w:val="0"/>
                <w:color w:val="13263A"/>
                <w:sz w:val="16"/>
              </w:rPr>
              <w:t>Experimental execution, supervision, data reduction and reporting</w:t>
            </w:r>
          </w:p>
        </w:tc>
      </w:tr>
      <w:tr>
        <w:tc>
          <w:tcPr>
            <w:tcW w:type="dxa" w:w="2948"/>
            <w:shd w:fill="F4F8FA"/>
            <w:tcMar>
              <w:top w:w="100" w:type="dxa"/>
              <w:start w:w="110" w:type="dxa"/>
              <w:bottom w:w="100" w:type="dxa"/>
              <w:end w:w="110" w:type="dxa"/>
            </w:tcMar>
          </w:tcPr>
          <w:p>
            <w:r>
              <w:rPr>
                <w:rFonts w:ascii="Aptos" w:hAnsi="Aptos"/>
                <w:b/>
                <w:i w:val="0"/>
                <w:color w:val="13263A"/>
                <w:sz w:val="16"/>
              </w:rPr>
              <w:t>Materials &amp; consumables</w:t>
            </w:r>
          </w:p>
        </w:tc>
        <w:tc>
          <w:tcPr>
            <w:tcW w:type="dxa" w:w="1701"/>
            <w:shd w:fill="F4F8FA"/>
            <w:tcMar>
              <w:top w:w="100" w:type="dxa"/>
              <w:start w:w="110" w:type="dxa"/>
              <w:bottom w:w="100" w:type="dxa"/>
              <w:end w:w="110" w:type="dxa"/>
            </w:tcMar>
          </w:tcPr>
          <w:p>
            <w:r>
              <w:rPr>
                <w:rFonts w:ascii="Aptos" w:hAnsi="Aptos"/>
                <w:b w:val="0"/>
                <w:i w:val="0"/>
                <w:color w:val="13263A"/>
                <w:sz w:val="16"/>
              </w:rPr>
              <w:t>£8,000</w:t>
            </w:r>
          </w:p>
        </w:tc>
        <w:tc>
          <w:tcPr>
            <w:tcW w:type="dxa" w:w="1701"/>
            <w:shd w:fill="F4F8FA"/>
            <w:tcMar>
              <w:top w:w="100" w:type="dxa"/>
              <w:start w:w="110" w:type="dxa"/>
              <w:bottom w:w="100" w:type="dxa"/>
              <w:end w:w="110" w:type="dxa"/>
            </w:tcMar>
          </w:tcPr>
          <w:p>
            <w:r>
              <w:rPr>
                <w:rFonts w:ascii="Aptos" w:hAnsi="Aptos"/>
                <w:b w:val="0"/>
                <w:i w:val="0"/>
                <w:color w:val="13263A"/>
                <w:sz w:val="16"/>
              </w:rPr>
              <w:t>£12,000</w:t>
            </w:r>
          </w:p>
        </w:tc>
        <w:tc>
          <w:tcPr>
            <w:tcW w:type="dxa" w:w="3288"/>
            <w:shd w:fill="F4F8FA"/>
            <w:tcMar>
              <w:top w:w="100" w:type="dxa"/>
              <w:start w:w="110" w:type="dxa"/>
              <w:bottom w:w="100" w:type="dxa"/>
              <w:end w:w="110" w:type="dxa"/>
            </w:tcMar>
          </w:tcPr>
          <w:p>
            <w:r>
              <w:rPr>
                <w:rFonts w:ascii="Aptos" w:hAnsi="Aptos"/>
                <w:b w:val="0"/>
                <w:i w:val="0"/>
                <w:color w:val="13263A"/>
                <w:sz w:val="16"/>
              </w:rPr>
              <w:t>Monomers, crosslinkers, stabilisers, brines, disposables and safe handling</w:t>
            </w:r>
          </w:p>
        </w:tc>
      </w:tr>
      <w:tr>
        <w:tc>
          <w:tcPr>
            <w:tcW w:type="dxa" w:w="2948"/>
            <w:shd w:fill="FFFFFF"/>
            <w:tcMar>
              <w:top w:w="100" w:type="dxa"/>
              <w:start w:w="110" w:type="dxa"/>
              <w:bottom w:w="100" w:type="dxa"/>
              <w:end w:w="110" w:type="dxa"/>
            </w:tcMar>
          </w:tcPr>
          <w:p>
            <w:r>
              <w:rPr>
                <w:rFonts w:ascii="Aptos" w:hAnsi="Aptos"/>
                <w:b/>
                <w:i w:val="0"/>
                <w:color w:val="13263A"/>
                <w:sz w:val="16"/>
              </w:rPr>
              <w:t>Laboratory &amp; facility access</w:t>
            </w:r>
          </w:p>
        </w:tc>
        <w:tc>
          <w:tcPr>
            <w:tcW w:type="dxa" w:w="1701"/>
            <w:shd w:fill="FFFFFF"/>
            <w:tcMar>
              <w:top w:w="100" w:type="dxa"/>
              <w:start w:w="110" w:type="dxa"/>
              <w:bottom w:w="100" w:type="dxa"/>
              <w:end w:w="110" w:type="dxa"/>
            </w:tcMar>
          </w:tcPr>
          <w:p>
            <w:r>
              <w:rPr>
                <w:rFonts w:ascii="Aptos" w:hAnsi="Aptos"/>
                <w:b w:val="0"/>
                <w:i w:val="0"/>
                <w:color w:val="13263A"/>
                <w:sz w:val="16"/>
              </w:rPr>
              <w:t>£6,000</w:t>
            </w:r>
          </w:p>
        </w:tc>
        <w:tc>
          <w:tcPr>
            <w:tcW w:type="dxa" w:w="1701"/>
            <w:shd w:fill="FFFFFF"/>
            <w:tcMar>
              <w:top w:w="100" w:type="dxa"/>
              <w:start w:w="110" w:type="dxa"/>
              <w:bottom w:w="100" w:type="dxa"/>
              <w:end w:w="110" w:type="dxa"/>
            </w:tcMar>
          </w:tcPr>
          <w:p>
            <w:r>
              <w:rPr>
                <w:rFonts w:ascii="Aptos" w:hAnsi="Aptos"/>
                <w:b w:val="0"/>
                <w:i w:val="0"/>
                <w:color w:val="13263A"/>
                <w:sz w:val="16"/>
              </w:rPr>
              <w:t>£9,000</w:t>
            </w:r>
          </w:p>
        </w:tc>
        <w:tc>
          <w:tcPr>
            <w:tcW w:type="dxa" w:w="3288"/>
            <w:shd w:fill="FFFFFF"/>
            <w:tcMar>
              <w:top w:w="100" w:type="dxa"/>
              <w:start w:w="110" w:type="dxa"/>
              <w:bottom w:w="100" w:type="dxa"/>
              <w:end w:w="110" w:type="dxa"/>
            </w:tcMar>
          </w:tcPr>
          <w:p>
            <w:r>
              <w:rPr>
                <w:rFonts w:ascii="Aptos" w:hAnsi="Aptos"/>
                <w:b w:val="0"/>
                <w:i w:val="0"/>
                <w:color w:val="13263A"/>
                <w:sz w:val="16"/>
              </w:rPr>
              <w:t>Rheology, thermal analysis, microscopy and controlled processing</w:t>
            </w:r>
          </w:p>
        </w:tc>
      </w:tr>
      <w:tr>
        <w:tc>
          <w:tcPr>
            <w:tcW w:type="dxa" w:w="2948"/>
            <w:shd w:fill="F4F8FA"/>
            <w:tcMar>
              <w:top w:w="100" w:type="dxa"/>
              <w:start w:w="110" w:type="dxa"/>
              <w:bottom w:w="100" w:type="dxa"/>
              <w:end w:w="110" w:type="dxa"/>
            </w:tcMar>
          </w:tcPr>
          <w:p>
            <w:r>
              <w:rPr>
                <w:rFonts w:ascii="Aptos" w:hAnsi="Aptos"/>
                <w:b/>
                <w:i w:val="0"/>
                <w:color w:val="13263A"/>
                <w:sz w:val="16"/>
              </w:rPr>
              <w:t>Analytical characterisation</w:t>
            </w:r>
          </w:p>
        </w:tc>
        <w:tc>
          <w:tcPr>
            <w:tcW w:type="dxa" w:w="1701"/>
            <w:shd w:fill="F4F8FA"/>
            <w:tcMar>
              <w:top w:w="100" w:type="dxa"/>
              <w:start w:w="110" w:type="dxa"/>
              <w:bottom w:w="100" w:type="dxa"/>
              <w:end w:w="110" w:type="dxa"/>
            </w:tcMar>
          </w:tcPr>
          <w:p>
            <w:r>
              <w:rPr>
                <w:rFonts w:ascii="Aptos" w:hAnsi="Aptos"/>
                <w:b w:val="0"/>
                <w:i w:val="0"/>
                <w:color w:val="13263A"/>
                <w:sz w:val="16"/>
              </w:rPr>
              <w:t>£6,000</w:t>
            </w:r>
          </w:p>
        </w:tc>
        <w:tc>
          <w:tcPr>
            <w:tcW w:type="dxa" w:w="1701"/>
            <w:shd w:fill="F4F8FA"/>
            <w:tcMar>
              <w:top w:w="100" w:type="dxa"/>
              <w:start w:w="110" w:type="dxa"/>
              <w:bottom w:w="100" w:type="dxa"/>
              <w:end w:w="110" w:type="dxa"/>
            </w:tcMar>
          </w:tcPr>
          <w:p>
            <w:r>
              <w:rPr>
                <w:rFonts w:ascii="Aptos" w:hAnsi="Aptos"/>
                <w:b w:val="0"/>
                <w:i w:val="0"/>
                <w:color w:val="13263A"/>
                <w:sz w:val="16"/>
              </w:rPr>
              <w:t>£10,000</w:t>
            </w:r>
          </w:p>
        </w:tc>
        <w:tc>
          <w:tcPr>
            <w:tcW w:type="dxa" w:w="3288"/>
            <w:shd w:fill="F4F8FA"/>
            <w:tcMar>
              <w:top w:w="100" w:type="dxa"/>
              <w:start w:w="110" w:type="dxa"/>
              <w:bottom w:w="100" w:type="dxa"/>
              <w:end w:w="110" w:type="dxa"/>
            </w:tcMar>
          </w:tcPr>
          <w:p>
            <w:r>
              <w:rPr>
                <w:rFonts w:ascii="Aptos" w:hAnsi="Aptos"/>
                <w:b w:val="0"/>
                <w:i w:val="0"/>
                <w:color w:val="13263A"/>
                <w:sz w:val="16"/>
              </w:rPr>
              <w:t>Particle sizing, imaging and specialist analytical tests</w:t>
            </w:r>
          </w:p>
        </w:tc>
      </w:tr>
      <w:tr>
        <w:tc>
          <w:tcPr>
            <w:tcW w:type="dxa" w:w="2948"/>
            <w:shd w:fill="FFFFFF"/>
            <w:tcMar>
              <w:top w:w="100" w:type="dxa"/>
              <w:start w:w="110" w:type="dxa"/>
              <w:bottom w:w="100" w:type="dxa"/>
              <w:end w:w="110" w:type="dxa"/>
            </w:tcMar>
          </w:tcPr>
          <w:p>
            <w:r>
              <w:rPr>
                <w:rFonts w:ascii="Aptos" w:hAnsi="Aptos"/>
                <w:b/>
                <w:i w:val="0"/>
                <w:color w:val="13263A"/>
                <w:sz w:val="16"/>
              </w:rPr>
              <w:t>Test-rig fabrication &amp; instrumentation</w:t>
            </w:r>
          </w:p>
        </w:tc>
        <w:tc>
          <w:tcPr>
            <w:tcW w:type="dxa" w:w="1701"/>
            <w:shd w:fill="FFFFFF"/>
            <w:tcMar>
              <w:top w:w="100" w:type="dxa"/>
              <w:start w:w="110" w:type="dxa"/>
              <w:bottom w:w="100" w:type="dxa"/>
              <w:end w:w="110" w:type="dxa"/>
            </w:tcMar>
          </w:tcPr>
          <w:p>
            <w:r>
              <w:rPr>
                <w:rFonts w:ascii="Aptos" w:hAnsi="Aptos"/>
                <w:b w:val="0"/>
                <w:i w:val="0"/>
                <w:color w:val="13263A"/>
                <w:sz w:val="16"/>
              </w:rPr>
              <w:t>£5,000</w:t>
            </w:r>
          </w:p>
        </w:tc>
        <w:tc>
          <w:tcPr>
            <w:tcW w:type="dxa" w:w="1701"/>
            <w:shd w:fill="FFFFFF"/>
            <w:tcMar>
              <w:top w:w="100" w:type="dxa"/>
              <w:start w:w="110" w:type="dxa"/>
              <w:bottom w:w="100" w:type="dxa"/>
              <w:end w:w="110" w:type="dxa"/>
            </w:tcMar>
          </w:tcPr>
          <w:p>
            <w:r>
              <w:rPr>
                <w:rFonts w:ascii="Aptos" w:hAnsi="Aptos"/>
                <w:b w:val="0"/>
                <w:i w:val="0"/>
                <w:color w:val="13263A"/>
                <w:sz w:val="16"/>
              </w:rPr>
              <w:t>£8,000</w:t>
            </w:r>
          </w:p>
        </w:tc>
        <w:tc>
          <w:tcPr>
            <w:tcW w:type="dxa" w:w="3288"/>
            <w:shd w:fill="FFFFFF"/>
            <w:tcMar>
              <w:top w:w="100" w:type="dxa"/>
              <w:start w:w="110" w:type="dxa"/>
              <w:bottom w:w="100" w:type="dxa"/>
              <w:end w:w="110" w:type="dxa"/>
            </w:tcMar>
          </w:tcPr>
          <w:p>
            <w:r>
              <w:rPr>
                <w:rFonts w:ascii="Aptos" w:hAnsi="Aptos"/>
                <w:b w:val="0"/>
                <w:i w:val="0"/>
                <w:color w:val="13263A"/>
                <w:sz w:val="16"/>
              </w:rPr>
              <w:t>Representative transport/porous-media fixtures, sensors and modifications</w:t>
            </w:r>
          </w:p>
        </w:tc>
      </w:tr>
      <w:tr>
        <w:tc>
          <w:tcPr>
            <w:tcW w:type="dxa" w:w="2948"/>
            <w:shd w:fill="F4F8FA"/>
            <w:tcMar>
              <w:top w:w="100" w:type="dxa"/>
              <w:start w:w="110" w:type="dxa"/>
              <w:bottom w:w="100" w:type="dxa"/>
              <w:end w:w="110" w:type="dxa"/>
            </w:tcMar>
          </w:tcPr>
          <w:p>
            <w:r>
              <w:rPr>
                <w:rFonts w:ascii="Aptos" w:hAnsi="Aptos"/>
                <w:b/>
                <w:i w:val="0"/>
                <w:color w:val="13263A"/>
                <w:sz w:val="16"/>
              </w:rPr>
              <w:t>Contingency &amp; project control</w:t>
            </w:r>
          </w:p>
        </w:tc>
        <w:tc>
          <w:tcPr>
            <w:tcW w:type="dxa" w:w="1701"/>
            <w:shd w:fill="F4F8FA"/>
            <w:tcMar>
              <w:top w:w="100" w:type="dxa"/>
              <w:start w:w="110" w:type="dxa"/>
              <w:bottom w:w="100" w:type="dxa"/>
              <w:end w:w="110" w:type="dxa"/>
            </w:tcMar>
          </w:tcPr>
          <w:p>
            <w:r>
              <w:rPr>
                <w:rFonts w:ascii="Aptos" w:hAnsi="Aptos"/>
                <w:b w:val="0"/>
                <w:i w:val="0"/>
                <w:color w:val="13263A"/>
                <w:sz w:val="16"/>
              </w:rPr>
              <w:t>£5,000</w:t>
            </w:r>
          </w:p>
        </w:tc>
        <w:tc>
          <w:tcPr>
            <w:tcW w:type="dxa" w:w="1701"/>
            <w:shd w:fill="F4F8FA"/>
            <w:tcMar>
              <w:top w:w="100" w:type="dxa"/>
              <w:start w:w="110" w:type="dxa"/>
              <w:bottom w:w="100" w:type="dxa"/>
              <w:end w:w="110" w:type="dxa"/>
            </w:tcMar>
          </w:tcPr>
          <w:p>
            <w:r>
              <w:rPr>
                <w:rFonts w:ascii="Aptos" w:hAnsi="Aptos"/>
                <w:b w:val="0"/>
                <w:i w:val="0"/>
                <w:color w:val="13263A"/>
                <w:sz w:val="16"/>
              </w:rPr>
              <w:t>£6,000</w:t>
            </w:r>
          </w:p>
        </w:tc>
        <w:tc>
          <w:tcPr>
            <w:tcW w:type="dxa" w:w="3288"/>
            <w:shd w:fill="F4F8FA"/>
            <w:tcMar>
              <w:top w:w="100" w:type="dxa"/>
              <w:start w:w="110" w:type="dxa"/>
              <w:bottom w:w="100" w:type="dxa"/>
              <w:end w:w="110" w:type="dxa"/>
            </w:tcMar>
          </w:tcPr>
          <w:p>
            <w:r>
              <w:rPr>
                <w:rFonts w:ascii="Aptos" w:hAnsi="Aptos"/>
                <w:b w:val="0"/>
                <w:i w:val="0"/>
                <w:color w:val="13263A"/>
                <w:sz w:val="16"/>
              </w:rPr>
              <w:t>Defined rework allowance, procurement variation and review gates</w:t>
            </w:r>
          </w:p>
        </w:tc>
      </w:tr>
      <w:tr>
        <w:tc>
          <w:tcPr>
            <w:tcW w:type="dxa" w:w="2948"/>
            <w:shd w:fill="0C2947"/>
            <w:tcMar>
              <w:top w:w="100" w:type="dxa"/>
              <w:start w:w="110" w:type="dxa"/>
              <w:bottom w:w="100" w:type="dxa"/>
              <w:end w:w="110" w:type="dxa"/>
            </w:tcMar>
          </w:tcPr>
          <w:p>
            <w:r>
              <w:rPr>
                <w:rFonts w:ascii="Aptos" w:hAnsi="Aptos"/>
                <w:b/>
                <w:i w:val="0"/>
                <w:color w:val="FFFFFF"/>
                <w:sz w:val="16"/>
              </w:rPr>
              <w:t>TOTAL</w:t>
            </w:r>
          </w:p>
        </w:tc>
        <w:tc>
          <w:tcPr>
            <w:tcW w:type="dxa" w:w="1701"/>
            <w:shd w:fill="0C2947"/>
            <w:tcMar>
              <w:top w:w="100" w:type="dxa"/>
              <w:start w:w="110" w:type="dxa"/>
              <w:bottom w:w="100" w:type="dxa"/>
              <w:end w:w="110" w:type="dxa"/>
            </w:tcMar>
          </w:tcPr>
          <w:p>
            <w:r>
              <w:rPr>
                <w:rFonts w:ascii="Aptos" w:hAnsi="Aptos"/>
                <w:b/>
                <w:i w:val="0"/>
                <w:color w:val="FFFFFF"/>
                <w:sz w:val="16"/>
              </w:rPr>
              <w:t>£50,000</w:t>
            </w:r>
          </w:p>
        </w:tc>
        <w:tc>
          <w:tcPr>
            <w:tcW w:type="dxa" w:w="1701"/>
            <w:shd w:fill="0C2947"/>
            <w:tcMar>
              <w:top w:w="100" w:type="dxa"/>
              <w:start w:w="110" w:type="dxa"/>
              <w:bottom w:w="100" w:type="dxa"/>
              <w:end w:w="110" w:type="dxa"/>
            </w:tcMar>
          </w:tcPr>
          <w:p>
            <w:r>
              <w:rPr>
                <w:rFonts w:ascii="Aptos" w:hAnsi="Aptos"/>
                <w:b/>
                <w:i w:val="0"/>
                <w:color w:val="FFFFFF"/>
                <w:sz w:val="16"/>
              </w:rPr>
              <w:t>£75,000</w:t>
            </w:r>
          </w:p>
        </w:tc>
        <w:tc>
          <w:tcPr>
            <w:tcW w:type="dxa" w:w="3288"/>
            <w:shd w:fill="0C2947"/>
            <w:tcMar>
              <w:top w:w="100" w:type="dxa"/>
              <w:start w:w="110" w:type="dxa"/>
              <w:bottom w:w="100" w:type="dxa"/>
              <w:end w:w="110" w:type="dxa"/>
            </w:tcMar>
          </w:tcPr>
          <w:p>
            <w:r>
              <w:rPr>
                <w:rFonts w:ascii="Aptos" w:hAnsi="Aptos"/>
                <w:b/>
                <w:i w:val="0"/>
                <w:color w:val="FFFFFF"/>
                <w:sz w:val="16"/>
              </w:rPr>
              <w:t>Six-month TRL 3→4 programme envelope</w:t>
            </w:r>
          </w:p>
        </w:tc>
      </w:tr>
    </w:tbl>
    <w:p>
      <w:pPr>
        <w:pStyle w:val="Caption"/>
      </w:pPr>
      <w:r>
        <w:t>Planning note: values are indicative, not quotations. VAT, institutional overhead treatment, procurement lead times and external-provider pricing must be confirmed in the agreed statement of work.</w:t>
      </w:r>
    </w:p>
    <w:p>
      <w:r>
        <w:br w:type="page"/>
      </w:r>
    </w:p>
    <w:p>
      <w:pPr>
        <w:pStyle w:val="Eyebrow"/>
        <w:keepNext/>
      </w:pPr>
      <w:r>
        <w:t>06 | TRL 4 EXIT CRITERIA</w:t>
      </w:r>
    </w:p>
    <w:p>
      <w:pPr>
        <w:pStyle w:val="Title"/>
        <w:keepNext/>
        <w:jc w:val="left"/>
      </w:pPr>
      <w:r>
        <w:t>What must be true at month six</w:t>
      </w:r>
    </w:p>
    <w:p>
      <w:pPr>
        <w:pStyle w:val="Deck"/>
      </w:pPr>
      <w:r>
        <w:t>TRL 4 is claimed only when the integrated laboratory evidence supports the critical functions and their interactions.</w:t>
      </w:r>
    </w:p>
    <w:tbl>
      <w:tblPr>
        <w:tblW w:type="dxa" w:w="9638"/>
        <w:jc w:val="center"/>
        <w:tblLayout w:type="fixed"/>
        <w:tblLook w:firstColumn="1" w:firstRow="1" w:lastColumn="0" w:lastRow="0" w:noHBand="0" w:noVBand="1" w:val="04A0"/>
        <w:tblInd w:w="0" w:type="dxa"/>
        <w:tblBorders>
          <w:top w:val="single" w:sz="5" w:color="FFFFFF"/>
          <w:left w:val="single" w:sz="5" w:color="FFFFFF"/>
          <w:bottom w:val="single" w:sz="5" w:color="FFFFFF"/>
          <w:right w:val="single" w:sz="5" w:color="FFFFFF"/>
          <w:insideH w:val="single" w:sz="5" w:color="FFFFFF"/>
          <w:insideV w:val="single" w:sz="5" w:color="FFFFFF"/>
        </w:tblBorders>
      </w:tblPr>
      <w:tblGrid>
        <w:gridCol w:w="1134"/>
        <w:gridCol w:w="8504"/>
      </w:tblGrid>
      <w:tr>
        <w:tc>
          <w:tcPr>
            <w:tcW w:type="dxa" w:w="1134"/>
            <w:shd w:fill="18A7A0"/>
            <w:tcMar>
              <w:top w:w="130" w:type="dxa"/>
              <w:start w:w="100" w:type="dxa"/>
              <w:bottom w:w="130" w:type="dxa"/>
              <w:end w:w="100" w:type="dxa"/>
            </w:tcMar>
          </w:tcPr>
          <w:p>
            <w:pPr>
              <w:jc w:val="center"/>
            </w:pPr>
            <w:r>
              <w:rPr>
                <w:rFonts w:ascii="Aptos" w:hAnsi="Aptos"/>
                <w:b/>
                <w:i w:val="0"/>
                <w:color w:val="071B33"/>
                <w:sz w:val="30"/>
              </w:rPr>
              <w:t>01</w:t>
            </w:r>
          </w:p>
        </w:tc>
        <w:tc>
          <w:tcPr>
            <w:tcW w:type="dxa" w:w="8504"/>
            <w:shd w:fill="F4F8FA"/>
            <w:tcMar>
              <w:top w:w="130" w:type="dxa"/>
              <w:start w:w="150" w:type="dxa"/>
              <w:bottom w:w="130" w:type="dxa"/>
              <w:end w:w="150" w:type="dxa"/>
            </w:tcMar>
          </w:tcPr>
          <w:p>
            <w:pPr>
              <w:spacing w:after="40"/>
            </w:pPr>
            <w:r>
              <w:rPr>
                <w:rFonts w:ascii="Aptos" w:hAnsi="Aptos"/>
                <w:b/>
                <w:i w:val="0"/>
                <w:color w:val="071B33"/>
                <w:sz w:val="16"/>
              </w:rPr>
              <w:t>TRANSPORT RHEOLOGY</w:t>
            </w:r>
          </w:p>
          <w:p>
            <w:pPr>
              <w:spacing w:after="0"/>
            </w:pPr>
            <w:r>
              <w:rPr>
                <w:rFonts w:ascii="Aptos" w:hAnsi="Aptos"/>
                <w:b w:val="0"/>
                <w:i w:val="0"/>
                <w:color w:val="13263A"/>
                <w:sz w:val="17"/>
              </w:rPr>
              <w:t>Complete-fluid viscosity is demonstrated at or below 10 cP across the agreed transport simulation.</w:t>
            </w:r>
          </w:p>
        </w:tc>
      </w:tr>
      <w:tr>
        <w:tc>
          <w:tcPr>
            <w:tcW w:type="dxa" w:w="1134"/>
            <w:shd w:fill="18A7A0"/>
            <w:tcMar>
              <w:top w:w="130" w:type="dxa"/>
              <w:start w:w="100" w:type="dxa"/>
              <w:bottom w:w="130" w:type="dxa"/>
              <w:end w:w="100" w:type="dxa"/>
            </w:tcMar>
          </w:tcPr>
          <w:p>
            <w:pPr>
              <w:jc w:val="center"/>
            </w:pPr>
            <w:r>
              <w:rPr>
                <w:rFonts w:ascii="Aptos" w:hAnsi="Aptos"/>
                <w:b/>
                <w:i w:val="0"/>
                <w:color w:val="071B33"/>
                <w:sz w:val="30"/>
              </w:rPr>
              <w:t>02</w:t>
            </w:r>
          </w:p>
        </w:tc>
        <w:tc>
          <w:tcPr>
            <w:tcW w:type="dxa" w:w="8504"/>
            <w:shd w:fill="F4F8FA"/>
            <w:tcMar>
              <w:top w:w="130" w:type="dxa"/>
              <w:start w:w="150" w:type="dxa"/>
              <w:bottom w:w="130" w:type="dxa"/>
              <w:end w:w="150" w:type="dxa"/>
            </w:tcMar>
          </w:tcPr>
          <w:p>
            <w:pPr>
              <w:spacing w:after="40"/>
            </w:pPr>
            <w:r>
              <w:rPr>
                <w:rFonts w:ascii="Aptos" w:hAnsi="Aptos"/>
                <w:b/>
                <w:i w:val="0"/>
                <w:color w:val="071B33"/>
                <w:sz w:val="16"/>
              </w:rPr>
              <w:t>DELAYED ACTIVATION</w:t>
            </w:r>
          </w:p>
          <w:p>
            <w:pPr>
              <w:spacing w:after="0"/>
            </w:pPr>
            <w:r>
              <w:rPr>
                <w:rFonts w:ascii="Aptos" w:hAnsi="Aptos"/>
                <w:b w:val="0"/>
                <w:i w:val="0"/>
                <w:color w:val="13263A"/>
                <w:sz w:val="17"/>
              </w:rPr>
              <w:t>A reproducible 25–75 minute induction window is measured under the defined thermal history.</w:t>
            </w:r>
          </w:p>
        </w:tc>
      </w:tr>
      <w:tr>
        <w:tc>
          <w:tcPr>
            <w:tcW w:type="dxa" w:w="1134"/>
            <w:shd w:fill="18A7A0"/>
            <w:tcMar>
              <w:top w:w="130" w:type="dxa"/>
              <w:start w:w="100" w:type="dxa"/>
              <w:bottom w:w="130" w:type="dxa"/>
              <w:end w:w="100" w:type="dxa"/>
            </w:tcMar>
          </w:tcPr>
          <w:p>
            <w:pPr>
              <w:jc w:val="center"/>
            </w:pPr>
            <w:r>
              <w:rPr>
                <w:rFonts w:ascii="Aptos" w:hAnsi="Aptos"/>
                <w:b/>
                <w:i w:val="0"/>
                <w:color w:val="071B33"/>
                <w:sz w:val="30"/>
              </w:rPr>
              <w:t>03</w:t>
            </w:r>
          </w:p>
        </w:tc>
        <w:tc>
          <w:tcPr>
            <w:tcW w:type="dxa" w:w="8504"/>
            <w:shd w:fill="F4F8FA"/>
            <w:tcMar>
              <w:top w:w="130" w:type="dxa"/>
              <w:start w:w="150" w:type="dxa"/>
              <w:bottom w:w="130" w:type="dxa"/>
              <w:end w:w="150" w:type="dxa"/>
            </w:tcMar>
          </w:tcPr>
          <w:p>
            <w:pPr>
              <w:spacing w:after="40"/>
            </w:pPr>
            <w:r>
              <w:rPr>
                <w:rFonts w:ascii="Aptos" w:hAnsi="Aptos"/>
                <w:b/>
                <w:i w:val="0"/>
                <w:color w:val="071B33"/>
                <w:sz w:val="16"/>
              </w:rPr>
              <w:t>DISCRETE FORMATION</w:t>
            </w:r>
          </w:p>
          <w:p>
            <w:pPr>
              <w:spacing w:after="0"/>
            </w:pPr>
            <w:r>
              <w:rPr>
                <w:rFonts w:ascii="Aptos" w:hAnsi="Aptos"/>
                <w:b w:val="0"/>
                <w:i w:val="0"/>
                <w:color w:val="13263A"/>
                <w:sz w:val="17"/>
              </w:rPr>
              <w:t>Conversion yields discrete particles with no connected bulk gel phase.</w:t>
            </w:r>
          </w:p>
        </w:tc>
      </w:tr>
      <w:tr>
        <w:tc>
          <w:tcPr>
            <w:tcW w:type="dxa" w:w="1134"/>
            <w:shd w:fill="18A7A0"/>
            <w:tcMar>
              <w:top w:w="130" w:type="dxa"/>
              <w:start w:w="100" w:type="dxa"/>
              <w:bottom w:w="130" w:type="dxa"/>
              <w:end w:w="100" w:type="dxa"/>
            </w:tcMar>
          </w:tcPr>
          <w:p>
            <w:pPr>
              <w:jc w:val="center"/>
            </w:pPr>
            <w:r>
              <w:rPr>
                <w:rFonts w:ascii="Aptos" w:hAnsi="Aptos"/>
                <w:b/>
                <w:i w:val="0"/>
                <w:color w:val="071B33"/>
                <w:sz w:val="30"/>
              </w:rPr>
              <w:t>04</w:t>
            </w:r>
          </w:p>
        </w:tc>
        <w:tc>
          <w:tcPr>
            <w:tcW w:type="dxa" w:w="8504"/>
            <w:shd w:fill="F4F8FA"/>
            <w:tcMar>
              <w:top w:w="130" w:type="dxa"/>
              <w:start w:w="150" w:type="dxa"/>
              <w:bottom w:w="130" w:type="dxa"/>
              <w:end w:w="150" w:type="dxa"/>
            </w:tcMar>
          </w:tcPr>
          <w:p>
            <w:pPr>
              <w:spacing w:after="40"/>
            </w:pPr>
            <w:r>
              <w:rPr>
                <w:rFonts w:ascii="Aptos" w:hAnsi="Aptos"/>
                <w:b/>
                <w:i w:val="0"/>
                <w:color w:val="071B33"/>
                <w:sz w:val="16"/>
              </w:rPr>
              <w:t>PARTICLE QUALITY</w:t>
            </w:r>
          </w:p>
          <w:p>
            <w:pPr>
              <w:spacing w:after="0"/>
            </w:pPr>
            <w:r>
              <w:rPr>
                <w:rFonts w:ascii="Aptos" w:hAnsi="Aptos"/>
                <w:b w:val="0"/>
                <w:i w:val="0"/>
                <w:color w:val="13263A"/>
                <w:sz w:val="17"/>
              </w:rPr>
              <w:t>The 70–600 µm target distribution is assessed with controlled agglomeration and fines.</w:t>
            </w:r>
          </w:p>
        </w:tc>
      </w:tr>
      <w:tr>
        <w:tc>
          <w:tcPr>
            <w:tcW w:type="dxa" w:w="1134"/>
            <w:shd w:fill="18A7A0"/>
            <w:tcMar>
              <w:top w:w="130" w:type="dxa"/>
              <w:start w:w="100" w:type="dxa"/>
              <w:bottom w:w="130" w:type="dxa"/>
              <w:end w:w="100" w:type="dxa"/>
            </w:tcMar>
          </w:tcPr>
          <w:p>
            <w:pPr>
              <w:jc w:val="center"/>
            </w:pPr>
            <w:r>
              <w:rPr>
                <w:rFonts w:ascii="Aptos" w:hAnsi="Aptos"/>
                <w:b/>
                <w:i w:val="0"/>
                <w:color w:val="071B33"/>
                <w:sz w:val="30"/>
              </w:rPr>
              <w:t>05</w:t>
            </w:r>
          </w:p>
        </w:tc>
        <w:tc>
          <w:tcPr>
            <w:tcW w:type="dxa" w:w="8504"/>
            <w:shd w:fill="F4F8FA"/>
            <w:tcMar>
              <w:top w:w="130" w:type="dxa"/>
              <w:start w:w="150" w:type="dxa"/>
              <w:bottom w:w="130" w:type="dxa"/>
              <w:end w:w="150" w:type="dxa"/>
            </w:tcMar>
          </w:tcPr>
          <w:p>
            <w:pPr>
              <w:spacing w:after="40"/>
            </w:pPr>
            <w:r>
              <w:rPr>
                <w:rFonts w:ascii="Aptos" w:hAnsi="Aptos"/>
                <w:b/>
                <w:i w:val="0"/>
                <w:color w:val="071B33"/>
                <w:sz w:val="16"/>
              </w:rPr>
              <w:t>FLOW EVIDENCE</w:t>
            </w:r>
          </w:p>
          <w:p>
            <w:pPr>
              <w:spacing w:after="0"/>
            </w:pPr>
            <w:r>
              <w:rPr>
                <w:rFonts w:ascii="Aptos" w:hAnsi="Aptos"/>
                <w:b w:val="0"/>
                <w:i w:val="0"/>
                <w:color w:val="13263A"/>
                <w:sz w:val="17"/>
              </w:rPr>
              <w:t>Bench transport, pressure response and permeability behaviour are documented.</w:t>
            </w:r>
          </w:p>
        </w:tc>
      </w:tr>
      <w:tr>
        <w:tc>
          <w:tcPr>
            <w:tcW w:type="dxa" w:w="1134"/>
            <w:shd w:fill="B7E344"/>
            <w:tcMar>
              <w:top w:w="130" w:type="dxa"/>
              <w:start w:w="100" w:type="dxa"/>
              <w:bottom w:w="130" w:type="dxa"/>
              <w:end w:w="100" w:type="dxa"/>
            </w:tcMar>
          </w:tcPr>
          <w:p>
            <w:pPr>
              <w:jc w:val="center"/>
            </w:pPr>
            <w:r>
              <w:rPr>
                <w:rFonts w:ascii="Aptos" w:hAnsi="Aptos"/>
                <w:b/>
                <w:i w:val="0"/>
                <w:color w:val="071B33"/>
                <w:sz w:val="30"/>
              </w:rPr>
              <w:t>06</w:t>
            </w:r>
          </w:p>
        </w:tc>
        <w:tc>
          <w:tcPr>
            <w:tcW w:type="dxa" w:w="8504"/>
            <w:shd w:fill="F4F8FA"/>
            <w:tcMar>
              <w:top w:w="130" w:type="dxa"/>
              <w:start w:w="150" w:type="dxa"/>
              <w:bottom w:w="130" w:type="dxa"/>
              <w:end w:w="150" w:type="dxa"/>
            </w:tcMar>
          </w:tcPr>
          <w:p>
            <w:pPr>
              <w:spacing w:after="40"/>
            </w:pPr>
            <w:r>
              <w:rPr>
                <w:rFonts w:ascii="Aptos" w:hAnsi="Aptos"/>
                <w:b/>
                <w:i w:val="0"/>
                <w:color w:val="071B33"/>
                <w:sz w:val="16"/>
              </w:rPr>
              <w:t>CONTROL PACKAGE</w:t>
            </w:r>
          </w:p>
          <w:p>
            <w:pPr>
              <w:spacing w:after="0"/>
            </w:pPr>
            <w:r>
              <w:rPr>
                <w:rFonts w:ascii="Aptos" w:hAnsi="Aptos"/>
                <w:b w:val="0"/>
                <w:i w:val="0"/>
                <w:color w:val="13263A"/>
                <w:sz w:val="17"/>
              </w:rPr>
              <w:t>A locked formulation, operating envelope, SOP, risk register and scale-up plan are issued.</w:t>
            </w:r>
          </w:p>
        </w:tc>
      </w:tr>
    </w:tbl>
    <w:p>
      <w:pPr>
        <w:pStyle w:val="Heading2"/>
        <w:keepNext/>
      </w:pPr>
      <w:r>
        <w:t>Evidence classification</w:t>
      </w:r>
    </w:p>
    <w:p>
      <w:r>
        <w:t>Challenge requirements, DISE design targets and experimentally validated results must remain visibly separated in every report. Passing a gate means the agreed test method and acceptance rule have been met; it does not imply field qualification.</w:t>
      </w:r>
    </w:p>
    <w:p>
      <w:r>
        <w:br w:type="page"/>
      </w:r>
    </w:p>
    <w:p>
      <w:pPr>
        <w:pStyle w:val="Eyebrow"/>
        <w:keepNext/>
      </w:pPr>
      <w:r>
        <w:t>07 | GOVERNANCE &amp; CONTROL</w:t>
      </w:r>
    </w:p>
    <w:p>
      <w:pPr>
        <w:pStyle w:val="Title"/>
        <w:keepNext/>
        <w:jc w:val="left"/>
      </w:pPr>
      <w:r>
        <w:t>Manage uncertainty before it becomes cost</w:t>
      </w:r>
    </w:p>
    <w:p>
      <w:pPr>
        <w:pStyle w:val="Deck"/>
      </w:pPr>
      <w:r>
        <w:t>A stage-gated structure contains technical risk and protects the programme from open-ended optimisation.</w:t>
      </w:r>
    </w:p>
    <w:tbl>
      <w:tblPr>
        <w:tblW w:type="dxa" w:w="9638"/>
        <w:jc w:val="center"/>
        <w:tblLayout w:type="fixed"/>
        <w:tblLook w:firstColumn="1" w:firstRow="1" w:lastColumn="0" w:lastRow="0" w:noHBand="0" w:noVBand="1" w:val="04A0"/>
        <w:tblInd w:w="0" w:type="dxa"/>
        <w:tblBorders>
          <w:top w:val="single" w:sz="5" w:color="C8DCE4"/>
          <w:left w:val="single" w:sz="5" w:color="C8DCE4"/>
          <w:bottom w:val="single" w:sz="5" w:color="C8DCE4"/>
          <w:right w:val="single" w:sz="5" w:color="C8DCE4"/>
          <w:insideH w:val="single" w:sz="5" w:color="C8DCE4"/>
          <w:insideV w:val="single" w:sz="5" w:color="C8DCE4"/>
        </w:tblBorders>
      </w:tblPr>
      <w:tblGrid>
        <w:gridCol w:w="2835"/>
        <w:gridCol w:w="3855"/>
        <w:gridCol w:w="2948"/>
      </w:tblGrid>
      <w:tr>
        <w:tc>
          <w:tcPr>
            <w:tcW w:type="dxa" w:w="2835"/>
            <w:shd w:fill="071B33"/>
            <w:tcMar>
              <w:top w:w="110" w:type="dxa"/>
              <w:start w:w="140" w:type="dxa"/>
              <w:bottom w:w="110" w:type="dxa"/>
              <w:end w:w="140" w:type="dxa"/>
            </w:tcMar>
          </w:tcPr>
          <w:p>
            <w:r>
              <w:rPr>
                <w:rFonts w:ascii="Aptos" w:hAnsi="Aptos"/>
                <w:b/>
                <w:i w:val="0"/>
                <w:color w:val="FFFFFF"/>
                <w:sz w:val="15"/>
              </w:rPr>
              <w:t>CONTROL</w:t>
            </w:r>
          </w:p>
        </w:tc>
        <w:tc>
          <w:tcPr>
            <w:tcW w:type="dxa" w:w="3855"/>
            <w:shd w:fill="071B33"/>
            <w:tcMar>
              <w:top w:w="110" w:type="dxa"/>
              <w:start w:w="140" w:type="dxa"/>
              <w:bottom w:w="110" w:type="dxa"/>
              <w:end w:w="140" w:type="dxa"/>
            </w:tcMar>
          </w:tcPr>
          <w:p>
            <w:r>
              <w:rPr>
                <w:rFonts w:ascii="Aptos" w:hAnsi="Aptos"/>
                <w:b/>
                <w:i w:val="0"/>
                <w:color w:val="FFFFFF"/>
                <w:sz w:val="15"/>
              </w:rPr>
              <w:t>PRACTICE</w:t>
            </w:r>
          </w:p>
        </w:tc>
        <w:tc>
          <w:tcPr>
            <w:tcW w:type="dxa" w:w="2948"/>
            <w:shd w:fill="071B33"/>
            <w:tcMar>
              <w:top w:w="110" w:type="dxa"/>
              <w:start w:w="140" w:type="dxa"/>
              <w:bottom w:w="110" w:type="dxa"/>
              <w:end w:w="140" w:type="dxa"/>
            </w:tcMar>
          </w:tcPr>
          <w:p>
            <w:r>
              <w:rPr>
                <w:rFonts w:ascii="Aptos" w:hAnsi="Aptos"/>
                <w:b/>
                <w:i w:val="0"/>
                <w:color w:val="FFFFFF"/>
                <w:sz w:val="15"/>
              </w:rPr>
              <w:t>DECISION VALUE</w:t>
            </w:r>
          </w:p>
        </w:tc>
      </w:tr>
      <w:tr>
        <w:tc>
          <w:tcPr>
            <w:tcW w:type="dxa" w:w="2835"/>
            <w:shd w:fill="FFFFFF"/>
            <w:tcMar>
              <w:top w:w="110" w:type="dxa"/>
              <w:start w:w="140" w:type="dxa"/>
              <w:bottom w:w="110" w:type="dxa"/>
              <w:end w:w="140" w:type="dxa"/>
            </w:tcMar>
          </w:tcPr>
          <w:p>
            <w:r>
              <w:rPr>
                <w:rFonts w:ascii="Aptos" w:hAnsi="Aptos"/>
                <w:b/>
                <w:i w:val="0"/>
                <w:color w:val="13263A"/>
                <w:sz w:val="16"/>
              </w:rPr>
              <w:t>Pre-agreed acceptance criteria</w:t>
            </w:r>
          </w:p>
        </w:tc>
        <w:tc>
          <w:tcPr>
            <w:tcW w:type="dxa" w:w="3855"/>
            <w:shd w:fill="FFFFFF"/>
            <w:tcMar>
              <w:top w:w="110" w:type="dxa"/>
              <w:start w:w="140" w:type="dxa"/>
              <w:bottom w:w="110" w:type="dxa"/>
              <w:end w:w="140" w:type="dxa"/>
            </w:tcMar>
          </w:tcPr>
          <w:p>
            <w:r>
              <w:rPr>
                <w:rFonts w:ascii="Aptos" w:hAnsi="Aptos"/>
                <w:b w:val="0"/>
                <w:i w:val="0"/>
                <w:color w:val="13263A"/>
                <w:sz w:val="16"/>
              </w:rPr>
              <w:t>Methods, replicates, tolerances and failure rules fixed before each test series.</w:t>
            </w:r>
          </w:p>
        </w:tc>
        <w:tc>
          <w:tcPr>
            <w:tcW w:type="dxa" w:w="2948"/>
            <w:shd w:fill="FFFFFF"/>
            <w:tcMar>
              <w:top w:w="110" w:type="dxa"/>
              <w:start w:w="140" w:type="dxa"/>
              <w:bottom w:w="110" w:type="dxa"/>
              <w:end w:w="140" w:type="dxa"/>
            </w:tcMar>
          </w:tcPr>
          <w:p>
            <w:r>
              <w:rPr>
                <w:rFonts w:ascii="Aptos" w:hAnsi="Aptos"/>
                <w:b w:val="0"/>
                <w:i w:val="0"/>
                <w:color w:val="13263A"/>
                <w:sz w:val="16"/>
              </w:rPr>
              <w:t>Reduces retrospective interpretation</w:t>
            </w:r>
          </w:p>
        </w:tc>
      </w:tr>
      <w:tr>
        <w:tc>
          <w:tcPr>
            <w:tcW w:type="dxa" w:w="2835"/>
            <w:shd w:fill="F4F8FA"/>
            <w:tcMar>
              <w:top w:w="110" w:type="dxa"/>
              <w:start w:w="140" w:type="dxa"/>
              <w:bottom w:w="110" w:type="dxa"/>
              <w:end w:w="140" w:type="dxa"/>
            </w:tcMar>
          </w:tcPr>
          <w:p>
            <w:r>
              <w:rPr>
                <w:rFonts w:ascii="Aptos" w:hAnsi="Aptos"/>
                <w:b/>
                <w:i w:val="0"/>
                <w:color w:val="13263A"/>
                <w:sz w:val="16"/>
              </w:rPr>
              <w:t>Fortnightly technical review</w:t>
            </w:r>
          </w:p>
        </w:tc>
        <w:tc>
          <w:tcPr>
            <w:tcW w:type="dxa" w:w="3855"/>
            <w:shd w:fill="F4F8FA"/>
            <w:tcMar>
              <w:top w:w="110" w:type="dxa"/>
              <w:start w:w="140" w:type="dxa"/>
              <w:bottom w:w="110" w:type="dxa"/>
              <w:end w:w="140" w:type="dxa"/>
            </w:tcMar>
          </w:tcPr>
          <w:p>
            <w:r>
              <w:rPr>
                <w:rFonts w:ascii="Aptos" w:hAnsi="Aptos"/>
                <w:b w:val="0"/>
                <w:i w:val="0"/>
                <w:color w:val="13263A"/>
                <w:sz w:val="16"/>
              </w:rPr>
              <w:t>Review evidence, deviations, safety observations and budget-to-complete.</w:t>
            </w:r>
          </w:p>
        </w:tc>
        <w:tc>
          <w:tcPr>
            <w:tcW w:type="dxa" w:w="2948"/>
            <w:shd w:fill="F4F8FA"/>
            <w:tcMar>
              <w:top w:w="110" w:type="dxa"/>
              <w:start w:w="140" w:type="dxa"/>
              <w:bottom w:w="110" w:type="dxa"/>
              <w:end w:w="140" w:type="dxa"/>
            </w:tcMar>
          </w:tcPr>
          <w:p>
            <w:r>
              <w:rPr>
                <w:rFonts w:ascii="Aptos" w:hAnsi="Aptos"/>
                <w:b w:val="0"/>
                <w:i w:val="0"/>
                <w:color w:val="13263A"/>
                <w:sz w:val="16"/>
              </w:rPr>
              <w:t>Enables timely correction or stop</w:t>
            </w:r>
          </w:p>
        </w:tc>
      </w:tr>
      <w:tr>
        <w:tc>
          <w:tcPr>
            <w:tcW w:type="dxa" w:w="2835"/>
            <w:shd w:fill="FFFFFF"/>
            <w:tcMar>
              <w:top w:w="110" w:type="dxa"/>
              <w:start w:w="140" w:type="dxa"/>
              <w:bottom w:w="110" w:type="dxa"/>
              <w:end w:w="140" w:type="dxa"/>
            </w:tcMar>
          </w:tcPr>
          <w:p>
            <w:r>
              <w:rPr>
                <w:rFonts w:ascii="Aptos" w:hAnsi="Aptos"/>
                <w:b/>
                <w:i w:val="0"/>
                <w:color w:val="13263A"/>
                <w:sz w:val="16"/>
              </w:rPr>
              <w:t>Configuration control</w:t>
            </w:r>
          </w:p>
        </w:tc>
        <w:tc>
          <w:tcPr>
            <w:tcW w:type="dxa" w:w="3855"/>
            <w:shd w:fill="FFFFFF"/>
            <w:tcMar>
              <w:top w:w="110" w:type="dxa"/>
              <w:start w:w="140" w:type="dxa"/>
              <w:bottom w:w="110" w:type="dxa"/>
              <w:end w:w="140" w:type="dxa"/>
            </w:tcMar>
          </w:tcPr>
          <w:p>
            <w:r>
              <w:rPr>
                <w:rFonts w:ascii="Aptos" w:hAnsi="Aptos"/>
                <w:b w:val="0"/>
                <w:i w:val="0"/>
                <w:color w:val="13263A"/>
                <w:sz w:val="16"/>
              </w:rPr>
              <w:t>Versioned formulation IDs and controlled changes to processing conditions.</w:t>
            </w:r>
          </w:p>
        </w:tc>
        <w:tc>
          <w:tcPr>
            <w:tcW w:type="dxa" w:w="2948"/>
            <w:shd w:fill="FFFFFF"/>
            <w:tcMar>
              <w:top w:w="110" w:type="dxa"/>
              <w:start w:w="140" w:type="dxa"/>
              <w:bottom w:w="110" w:type="dxa"/>
              <w:end w:w="140" w:type="dxa"/>
            </w:tcMar>
          </w:tcPr>
          <w:p>
            <w:r>
              <w:rPr>
                <w:rFonts w:ascii="Aptos" w:hAnsi="Aptos"/>
                <w:b w:val="0"/>
                <w:i w:val="0"/>
                <w:color w:val="13263A"/>
                <w:sz w:val="16"/>
              </w:rPr>
              <w:t>Preserves traceability</w:t>
            </w:r>
          </w:p>
        </w:tc>
      </w:tr>
      <w:tr>
        <w:tc>
          <w:tcPr>
            <w:tcW w:type="dxa" w:w="2835"/>
            <w:shd w:fill="F4F8FA"/>
            <w:tcMar>
              <w:top w:w="110" w:type="dxa"/>
              <w:start w:w="140" w:type="dxa"/>
              <w:bottom w:w="110" w:type="dxa"/>
              <w:end w:w="140" w:type="dxa"/>
            </w:tcMar>
          </w:tcPr>
          <w:p>
            <w:r>
              <w:rPr>
                <w:rFonts w:ascii="Aptos" w:hAnsi="Aptos"/>
                <w:b/>
                <w:i w:val="0"/>
                <w:color w:val="13263A"/>
                <w:sz w:val="16"/>
              </w:rPr>
              <w:t>Three-batch reproducibility</w:t>
            </w:r>
          </w:p>
        </w:tc>
        <w:tc>
          <w:tcPr>
            <w:tcW w:type="dxa" w:w="3855"/>
            <w:shd w:fill="F4F8FA"/>
            <w:tcMar>
              <w:top w:w="110" w:type="dxa"/>
              <w:start w:w="140" w:type="dxa"/>
              <w:bottom w:w="110" w:type="dxa"/>
              <w:end w:w="140" w:type="dxa"/>
            </w:tcMar>
          </w:tcPr>
          <w:p>
            <w:r>
              <w:rPr>
                <w:rFonts w:ascii="Aptos" w:hAnsi="Aptos"/>
                <w:b w:val="0"/>
                <w:i w:val="0"/>
                <w:color w:val="13263A"/>
                <w:sz w:val="16"/>
              </w:rPr>
              <w:t>Independent preparation and testing of the down-selected candidate.</w:t>
            </w:r>
          </w:p>
        </w:tc>
        <w:tc>
          <w:tcPr>
            <w:tcW w:type="dxa" w:w="2948"/>
            <w:shd w:fill="F4F8FA"/>
            <w:tcMar>
              <w:top w:w="110" w:type="dxa"/>
              <w:start w:w="140" w:type="dxa"/>
              <w:bottom w:w="110" w:type="dxa"/>
              <w:end w:w="140" w:type="dxa"/>
            </w:tcMar>
          </w:tcPr>
          <w:p>
            <w:r>
              <w:rPr>
                <w:rFonts w:ascii="Aptos" w:hAnsi="Aptos"/>
                <w:b w:val="0"/>
                <w:i w:val="0"/>
                <w:color w:val="13263A"/>
                <w:sz w:val="16"/>
              </w:rPr>
              <w:t>Tests repeatability, not one-off success</w:t>
            </w:r>
          </w:p>
        </w:tc>
      </w:tr>
      <w:tr>
        <w:tc>
          <w:tcPr>
            <w:tcW w:type="dxa" w:w="2835"/>
            <w:shd w:fill="FFFFFF"/>
            <w:tcMar>
              <w:top w:w="110" w:type="dxa"/>
              <w:start w:w="140" w:type="dxa"/>
              <w:bottom w:w="110" w:type="dxa"/>
              <w:end w:w="140" w:type="dxa"/>
            </w:tcMar>
          </w:tcPr>
          <w:p>
            <w:r>
              <w:rPr>
                <w:rFonts w:ascii="Aptos" w:hAnsi="Aptos"/>
                <w:b/>
                <w:i w:val="0"/>
                <w:color w:val="13263A"/>
                <w:sz w:val="16"/>
              </w:rPr>
              <w:t>Specialist-test release gate</w:t>
            </w:r>
          </w:p>
        </w:tc>
        <w:tc>
          <w:tcPr>
            <w:tcW w:type="dxa" w:w="3855"/>
            <w:shd w:fill="FFFFFF"/>
            <w:tcMar>
              <w:top w:w="110" w:type="dxa"/>
              <w:start w:w="140" w:type="dxa"/>
              <w:bottom w:w="110" w:type="dxa"/>
              <w:end w:w="140" w:type="dxa"/>
            </w:tcMar>
          </w:tcPr>
          <w:p>
            <w:r>
              <w:rPr>
                <w:rFonts w:ascii="Aptos" w:hAnsi="Aptos"/>
                <w:b w:val="0"/>
                <w:i w:val="0"/>
                <w:color w:val="13263A"/>
                <w:sz w:val="16"/>
              </w:rPr>
              <w:t>External HP/analytical work authorised only after bench entry criteria pass.</w:t>
            </w:r>
          </w:p>
        </w:tc>
        <w:tc>
          <w:tcPr>
            <w:tcW w:type="dxa" w:w="2948"/>
            <w:shd w:fill="FFFFFF"/>
            <w:tcMar>
              <w:top w:w="110" w:type="dxa"/>
              <w:start w:w="140" w:type="dxa"/>
              <w:bottom w:w="110" w:type="dxa"/>
              <w:end w:w="140" w:type="dxa"/>
            </w:tcMar>
          </w:tcPr>
          <w:p>
            <w:r>
              <w:rPr>
                <w:rFonts w:ascii="Aptos" w:hAnsi="Aptos"/>
                <w:b w:val="0"/>
                <w:i w:val="0"/>
                <w:color w:val="13263A"/>
                <w:sz w:val="16"/>
              </w:rPr>
              <w:t>Protects the cost envelope</w:t>
            </w:r>
          </w:p>
        </w:tc>
      </w:tr>
    </w:tbl>
    <w:p>
      <w:pPr>
        <w:pStyle w:val="Heading2"/>
        <w:keepNext/>
      </w:pPr>
      <w:r>
        <w:t>Principal uncertainties</w:t>
      </w:r>
    </w:p>
    <w:p>
      <w:pPr>
        <w:pStyle w:val="ListBullet"/>
        <w:spacing w:after="80"/>
        <w:ind w:left="255" w:hanging="113"/>
      </w:pPr>
      <w:r>
        <w:rPr>
          <w:rFonts w:ascii="Aptos" w:hAnsi="Aptos"/>
          <w:b w:val="0"/>
          <w:i w:val="0"/>
          <w:color w:val="13263A"/>
          <w:sz w:val="19"/>
        </w:rPr>
        <w:t>Precursor concentration may conflict with the ≤10 cP transport ceiling.</w:t>
      </w:r>
    </w:p>
    <w:p>
      <w:pPr>
        <w:pStyle w:val="ListBullet"/>
        <w:spacing w:after="80"/>
        <w:ind w:left="255" w:hanging="113"/>
      </w:pPr>
      <w:r>
        <w:rPr>
          <w:rFonts w:ascii="Aptos" w:hAnsi="Aptos"/>
          <w:b w:val="0"/>
          <w:i w:val="0"/>
          <w:color w:val="13263A"/>
          <w:sz w:val="19"/>
        </w:rPr>
        <w:t>Thermal history may activate the chemistry earlier than the nominal placement time.</w:t>
      </w:r>
    </w:p>
    <w:p>
      <w:pPr>
        <w:pStyle w:val="ListBullet"/>
        <w:spacing w:after="80"/>
        <w:ind w:left="255" w:hanging="113"/>
      </w:pPr>
      <w:r>
        <w:rPr>
          <w:rFonts w:ascii="Aptos" w:hAnsi="Aptos"/>
          <w:b w:val="0"/>
          <w:i w:val="0"/>
          <w:color w:val="13263A"/>
          <w:sz w:val="19"/>
        </w:rPr>
        <w:t>Inter-droplet leakage or tack may create connected polymer or agglomerates.</w:t>
      </w:r>
    </w:p>
    <w:p>
      <w:pPr>
        <w:pStyle w:val="ListBullet"/>
        <w:spacing w:after="80"/>
        <w:ind w:left="255" w:hanging="113"/>
      </w:pPr>
      <w:r>
        <w:rPr>
          <w:rFonts w:ascii="Aptos" w:hAnsi="Aptos"/>
          <w:b w:val="0"/>
          <w:i w:val="0"/>
          <w:color w:val="13263A"/>
          <w:sz w:val="19"/>
        </w:rPr>
        <w:t>High shear may shift droplet size outside the 70–600 µm window.</w:t>
      </w:r>
    </w:p>
    <w:p>
      <w:pPr>
        <w:pStyle w:val="ListBullet"/>
        <w:spacing w:after="80"/>
        <w:ind w:left="255" w:hanging="113"/>
      </w:pPr>
      <w:r>
        <w:rPr>
          <w:rFonts w:ascii="Aptos" w:hAnsi="Aptos"/>
          <w:b w:val="0"/>
          <w:i w:val="0"/>
          <w:color w:val="13263A"/>
          <w:sz w:val="19"/>
        </w:rPr>
        <w:t>Particle integrity, fines or swelling may reduce retained flow under load.</w:t>
      </w:r>
    </w:p>
    <w:p>
      <w:r>
        <w:br w:type="page"/>
      </w:r>
    </w:p>
    <w:p>
      <w:pPr>
        <w:pStyle w:val="Eyebrow"/>
        <w:keepNext/>
      </w:pPr>
      <w:r>
        <w:t>08 | BEYOND THE SIX-MONTH SCOPE</w:t>
      </w:r>
    </w:p>
    <w:p>
      <w:pPr>
        <w:pStyle w:val="Title"/>
        <w:keepNext/>
        <w:jc w:val="left"/>
      </w:pPr>
      <w:r>
        <w:t>TRL 4 is the launch point for relevant-environment validation</w:t>
      </w:r>
    </w:p>
    <w:p>
      <w:pPr>
        <w:pStyle w:val="Deck"/>
      </w:pPr>
      <w:r>
        <w:t>The six-month dossier closes laboratory proof of concept. It does not include field deployment or a complete TRL 5 campaign.</w:t>
      </w:r>
    </w:p>
    <w:p>
      <w:pPr>
        <w:spacing w:before="200" w:after="60"/>
      </w:pPr>
      <w:r>
        <w:rPr>
          <w:rFonts w:ascii="Aptos" w:hAnsi="Aptos"/>
          <w:b/>
          <w:i w:val="0"/>
          <w:color w:val="18A7A0"/>
          <w:sz w:val="16"/>
        </w:rPr>
        <w:t>NEXT-STAGE OBJECTIVE</w:t>
      </w:r>
    </w:p>
    <w:p>
      <w:pPr>
        <w:spacing w:after="80"/>
      </w:pPr>
      <w:r>
        <w:rPr>
          <w:rFonts w:ascii="Aptos" w:hAnsi="Aptos"/>
          <w:b/>
          <w:i w:val="0"/>
          <w:color w:val="000000"/>
          <w:sz w:val="28"/>
        </w:rPr>
        <w:t>Progress from a locked laboratory formulation to an integrated relevant-environment demonstration.</w:t>
      </w:r>
    </w:p>
    <w:p>
      <w:pPr>
        <w:spacing w:after="160"/>
      </w:pPr>
      <w:r>
        <w:rPr>
          <w:rFonts w:ascii="Aptos" w:hAnsi="Aptos"/>
          <w:b w:val="0"/>
          <w:i w:val="0"/>
          <w:color w:val="13263A"/>
          <w:sz w:val="19"/>
        </w:rPr>
        <w:t>A subsequent programme should combine dynamic HPHT flow-loop circulation, in-situ transformation inside a representative fracture/coreholder and conductivity testing under closure stress.</w:t>
      </w:r>
    </w:p>
    <w:p>
      <w:pPr>
        <w:pStyle w:val="Heading2"/>
        <w:keepNext/>
      </w:pPr>
      <w:r>
        <w:t>Illustrative next work package: months 7–9</w:t>
      </w:r>
    </w:p>
    <w:p>
      <w:pPr>
        <w:pStyle w:val="ListBullet"/>
        <w:spacing w:after="80"/>
        <w:ind w:left="255" w:hanging="113"/>
      </w:pPr>
      <w:r>
        <w:rPr>
          <w:rFonts w:ascii="Aptos" w:hAnsi="Aptos"/>
          <w:b w:val="0"/>
          <w:i w:val="0"/>
          <w:color w:val="13263A"/>
          <w:sz w:val="19"/>
        </w:rPr>
        <w:t>Dynamic flow-loop circulation up to the defined 10,000 psi and 150°C challenge envelope, including pause/restart and line-fouling observations.</w:t>
      </w:r>
    </w:p>
    <w:p>
      <w:pPr>
        <w:pStyle w:val="ListBullet"/>
        <w:spacing w:after="80"/>
        <w:ind w:left="255" w:hanging="113"/>
      </w:pPr>
      <w:r>
        <w:rPr>
          <w:rFonts w:ascii="Aptos" w:hAnsi="Aptos"/>
          <w:b w:val="0"/>
          <w:i w:val="0"/>
          <w:color w:val="13263A"/>
          <w:sz w:val="19"/>
        </w:rPr>
        <w:t>In-situ transformation within a fractured coreholder or representative fracture cell.</w:t>
      </w:r>
    </w:p>
    <w:p>
      <w:pPr>
        <w:pStyle w:val="ListBullet"/>
        <w:spacing w:after="80"/>
        <w:ind w:left="255" w:hanging="113"/>
      </w:pPr>
      <w:r>
        <w:rPr>
          <w:rFonts w:ascii="Aptos" w:hAnsi="Aptos"/>
          <w:b w:val="0"/>
          <w:i w:val="0"/>
          <w:color w:val="13263A"/>
          <w:sz w:val="19"/>
        </w:rPr>
        <w:t>Particle-pack response at 4,500, 5,250 and 6,000 psi closure stress, including fines and deformation.</w:t>
      </w:r>
    </w:p>
    <w:p>
      <w:pPr>
        <w:pStyle w:val="ListBullet"/>
        <w:spacing w:after="80"/>
        <w:ind w:left="255" w:hanging="113"/>
      </w:pPr>
      <w:r>
        <w:rPr>
          <w:rFonts w:ascii="Aptos" w:hAnsi="Aptos"/>
          <w:b w:val="0"/>
          <w:i w:val="0"/>
          <w:color w:val="13263A"/>
          <w:sz w:val="19"/>
        </w:rPr>
        <w:t>Measured permeability or conductivity retention, spatial distribution and micro-CT structural evidence where appropriate.</w:t>
      </w:r>
    </w:p>
    <w:p>
      <w:pPr>
        <w:pStyle w:val="Heading2"/>
        <w:keepNext/>
      </w:pPr>
      <w:r>
        <w:t>Explicit exclusions from the £50,000–£75,000 envelope</w:t>
      </w:r>
    </w:p>
    <w:p>
      <w:pPr>
        <w:pStyle w:val="ListBullet"/>
        <w:spacing w:after="80"/>
        <w:ind w:left="255" w:hanging="113"/>
      </w:pPr>
      <w:r>
        <w:rPr>
          <w:rFonts w:ascii="Aptos" w:hAnsi="Aptos"/>
          <w:b w:val="0"/>
          <w:i w:val="0"/>
          <w:color w:val="13263A"/>
          <w:sz w:val="19"/>
        </w:rPr>
        <w:t>Field trials, wellsite mobilisation or operator deployment.</w:t>
      </w:r>
    </w:p>
    <w:p>
      <w:pPr>
        <w:pStyle w:val="ListBullet"/>
        <w:spacing w:after="80"/>
        <w:ind w:left="255" w:hanging="113"/>
      </w:pPr>
      <w:r>
        <w:rPr>
          <w:rFonts w:ascii="Aptos" w:hAnsi="Aptos"/>
          <w:b w:val="0"/>
          <w:i w:val="0"/>
          <w:color w:val="13263A"/>
          <w:sz w:val="19"/>
        </w:rPr>
        <w:t>Industrial manufacturing qualification and supply-chain scale-up.</w:t>
      </w:r>
    </w:p>
    <w:p>
      <w:pPr>
        <w:pStyle w:val="ListBullet"/>
        <w:spacing w:after="80"/>
        <w:ind w:left="255" w:hanging="113"/>
      </w:pPr>
      <w:r>
        <w:rPr>
          <w:rFonts w:ascii="Aptos" w:hAnsi="Aptos"/>
          <w:b w:val="0"/>
          <w:i w:val="0"/>
          <w:color w:val="13263A"/>
          <w:sz w:val="19"/>
        </w:rPr>
        <w:t>A complete TRL 5 relevant-environment programme or certification campaign.</w:t>
      </w:r>
    </w:p>
    <w:p>
      <w:pPr>
        <w:pStyle w:val="ListBullet"/>
        <w:spacing w:after="80"/>
        <w:ind w:left="255" w:hanging="113"/>
      </w:pPr>
      <w:r>
        <w:rPr>
          <w:rFonts w:ascii="Aptos" w:hAnsi="Aptos"/>
          <w:b w:val="0"/>
          <w:i w:val="0"/>
          <w:color w:val="13263A"/>
          <w:sz w:val="19"/>
        </w:rPr>
        <w:t>Unbounded formulation exploration outside the agreed White Paper V5 architecture.</w:t>
      </w:r>
    </w:p>
    <w:p>
      <w:pPr>
        <w:pStyle w:val="Heading2"/>
        <w:keepNext/>
      </w:pPr>
      <w:r>
        <w:t>Recommended authorisation</w:t>
      </w:r>
    </w:p>
    <w:p>
      <w:r>
        <w:t>Authorise the six-month programme subject to an agreed statement of work, named facilities and personnel, documented safety review, confirmed cost treatment and pre-approved gate criteria. Release later-stage expenditure only when the month-two and month-four evidence supports continuation.</w:t>
      </w:r>
    </w:p>
    <w:p>
      <w:r>
        <w:br w:type="page"/>
      </w:r>
    </w:p>
    <w:p>
      <w:pPr>
        <w:pStyle w:val="Eyebrow"/>
        <w:keepNext/>
      </w:pPr>
      <w:r>
        <w:t>09 | DOCUMENT CONTROL</w:t>
      </w:r>
    </w:p>
    <w:p>
      <w:pPr>
        <w:pStyle w:val="Title"/>
        <w:keepNext/>
        <w:jc w:val="left"/>
      </w:pPr>
      <w:r>
        <w:t>Programme basis and use</w:t>
      </w:r>
    </w:p>
    <w:p>
      <w:pPr>
        <w:pStyle w:val="Deck"/>
      </w:pPr>
      <w:r>
        <w:t>A concise planning document for technical review, laboratory scoping and funding discussion.</w:t>
      </w:r>
    </w:p>
    <w:tbl>
      <w:tblPr>
        <w:tblW w:type="dxa" w:w="9638"/>
        <w:jc w:val="center"/>
        <w:tblLayout w:type="fixed"/>
        <w:tblLook w:firstColumn="1" w:firstRow="1" w:lastColumn="0" w:lastRow="0" w:noHBand="0" w:noVBand="1" w:val="04A0"/>
        <w:tblInd w:w="0" w:type="dxa"/>
        <w:tblBorders>
          <w:top w:val="single" w:sz="5" w:color="FFFFFF"/>
          <w:left w:val="single" w:sz="5" w:color="FFFFFF"/>
          <w:bottom w:val="single" w:sz="5" w:color="FFFFFF"/>
          <w:right w:val="single" w:sz="5" w:color="FFFFFF"/>
          <w:insideH w:val="single" w:sz="5" w:color="FFFFFF"/>
          <w:insideV w:val="single" w:sz="5" w:color="FFFFFF"/>
        </w:tblBorders>
      </w:tblPr>
      <w:tblGrid>
        <w:gridCol w:w="2438"/>
        <w:gridCol w:w="7200"/>
      </w:tblGrid>
      <w:tr>
        <w:tc>
          <w:tcPr>
            <w:tcW w:type="dxa" w:w="2438"/>
            <w:shd w:fill="0C2947"/>
            <w:tcMar>
              <w:top w:w="110" w:type="dxa"/>
              <w:start w:w="140" w:type="dxa"/>
              <w:bottom w:w="110" w:type="dxa"/>
              <w:end w:w="140" w:type="dxa"/>
            </w:tcMar>
          </w:tcPr>
          <w:p>
            <w:r>
              <w:rPr>
                <w:rFonts w:ascii="Aptos" w:hAnsi="Aptos"/>
                <w:b/>
                <w:i w:val="0"/>
                <w:color w:val="FFFFFF"/>
                <w:sz w:val="16"/>
              </w:rPr>
              <w:t>DOCUMENT</w:t>
            </w:r>
          </w:p>
        </w:tc>
        <w:tc>
          <w:tcPr>
            <w:tcW w:type="dxa" w:w="7200"/>
            <w:shd w:fill="F4F8FA"/>
            <w:tcMar>
              <w:top w:w="110" w:type="dxa"/>
              <w:start w:w="140" w:type="dxa"/>
              <w:bottom w:w="110" w:type="dxa"/>
              <w:end w:w="140" w:type="dxa"/>
            </w:tcMar>
          </w:tcPr>
          <w:p>
            <w:r>
              <w:rPr>
                <w:rFonts w:ascii="Aptos" w:hAnsi="Aptos"/>
                <w:b w:val="0"/>
                <w:i w:val="0"/>
                <w:color w:val="13263A"/>
                <w:sz w:val="17"/>
              </w:rPr>
              <w:t>DISE — Timeline, Capability &amp; Costs</w:t>
            </w:r>
          </w:p>
        </w:tc>
      </w:tr>
      <w:tr>
        <w:tc>
          <w:tcPr>
            <w:tcW w:type="dxa" w:w="2438"/>
            <w:shd w:fill="0C2947"/>
            <w:tcMar>
              <w:top w:w="110" w:type="dxa"/>
              <w:start w:w="140" w:type="dxa"/>
              <w:bottom w:w="110" w:type="dxa"/>
              <w:end w:w="140" w:type="dxa"/>
            </w:tcMar>
          </w:tcPr>
          <w:p>
            <w:r>
              <w:rPr>
                <w:rFonts w:ascii="Aptos" w:hAnsi="Aptos"/>
                <w:b/>
                <w:i w:val="0"/>
                <w:color w:val="FFFFFF"/>
                <w:sz w:val="16"/>
              </w:rPr>
              <w:t>VERSION</w:t>
            </w:r>
          </w:p>
        </w:tc>
        <w:tc>
          <w:tcPr>
            <w:tcW w:type="dxa" w:w="7200"/>
            <w:shd w:fill="F4F8FA"/>
            <w:tcMar>
              <w:top w:w="110" w:type="dxa"/>
              <w:start w:w="140" w:type="dxa"/>
              <w:bottom w:w="110" w:type="dxa"/>
              <w:end w:w="140" w:type="dxa"/>
            </w:tcMar>
          </w:tcPr>
          <w:p>
            <w:r>
              <w:rPr>
                <w:rFonts w:ascii="Aptos" w:hAnsi="Aptos"/>
                <w:b w:val="0"/>
                <w:i w:val="0"/>
                <w:color w:val="13263A"/>
                <w:sz w:val="17"/>
              </w:rPr>
              <w:t>1.0</w:t>
            </w:r>
          </w:p>
        </w:tc>
      </w:tr>
      <w:tr>
        <w:tc>
          <w:tcPr>
            <w:tcW w:type="dxa" w:w="2438"/>
            <w:shd w:fill="0C2947"/>
            <w:tcMar>
              <w:top w:w="110" w:type="dxa"/>
              <w:start w:w="140" w:type="dxa"/>
              <w:bottom w:w="110" w:type="dxa"/>
              <w:end w:w="140" w:type="dxa"/>
            </w:tcMar>
          </w:tcPr>
          <w:p>
            <w:r>
              <w:rPr>
                <w:rFonts w:ascii="Aptos" w:hAnsi="Aptos"/>
                <w:b/>
                <w:i w:val="0"/>
                <w:color w:val="FFFFFF"/>
                <w:sz w:val="16"/>
              </w:rPr>
              <w:t>DATE</w:t>
            </w:r>
          </w:p>
        </w:tc>
        <w:tc>
          <w:tcPr>
            <w:tcW w:type="dxa" w:w="7200"/>
            <w:shd w:fill="F4F8FA"/>
            <w:tcMar>
              <w:top w:w="110" w:type="dxa"/>
              <w:start w:w="140" w:type="dxa"/>
              <w:bottom w:w="110" w:type="dxa"/>
              <w:end w:w="140" w:type="dxa"/>
            </w:tcMar>
          </w:tcPr>
          <w:p>
            <w:r>
              <w:rPr>
                <w:rFonts w:ascii="Aptos" w:hAnsi="Aptos"/>
                <w:b w:val="0"/>
                <w:i w:val="0"/>
                <w:color w:val="13263A"/>
                <w:sz w:val="17"/>
              </w:rPr>
              <w:t>September 2026</w:t>
            </w:r>
          </w:p>
        </w:tc>
      </w:tr>
      <w:tr>
        <w:tc>
          <w:tcPr>
            <w:tcW w:type="dxa" w:w="2438"/>
            <w:shd w:fill="0C2947"/>
            <w:tcMar>
              <w:top w:w="110" w:type="dxa"/>
              <w:start w:w="140" w:type="dxa"/>
              <w:bottom w:w="110" w:type="dxa"/>
              <w:end w:w="140" w:type="dxa"/>
            </w:tcMar>
          </w:tcPr>
          <w:p>
            <w:r>
              <w:rPr>
                <w:rFonts w:ascii="Aptos" w:hAnsi="Aptos"/>
                <w:b/>
                <w:i w:val="0"/>
                <w:color w:val="FFFFFF"/>
                <w:sz w:val="16"/>
              </w:rPr>
              <w:t>PREPARED FOR</w:t>
            </w:r>
          </w:p>
        </w:tc>
        <w:tc>
          <w:tcPr>
            <w:tcW w:type="dxa" w:w="7200"/>
            <w:shd w:fill="F4F8FA"/>
            <w:tcMar>
              <w:top w:w="110" w:type="dxa"/>
              <w:start w:w="140" w:type="dxa"/>
              <w:bottom w:w="110" w:type="dxa"/>
              <w:end w:w="140" w:type="dxa"/>
            </w:tcMar>
          </w:tcPr>
          <w:p>
            <w:r>
              <w:rPr>
                <w:rFonts w:ascii="Aptos" w:hAnsi="Aptos"/>
                <w:b w:val="0"/>
                <w:i w:val="0"/>
                <w:color w:val="13263A"/>
                <w:sz w:val="17"/>
              </w:rPr>
              <w:t>Technical review and programme scoping</w:t>
            </w:r>
          </w:p>
        </w:tc>
      </w:tr>
      <w:tr>
        <w:tc>
          <w:tcPr>
            <w:tcW w:type="dxa" w:w="2438"/>
            <w:shd w:fill="0C2947"/>
            <w:tcMar>
              <w:top w:w="110" w:type="dxa"/>
              <w:start w:w="140" w:type="dxa"/>
              <w:bottom w:w="110" w:type="dxa"/>
              <w:end w:w="140" w:type="dxa"/>
            </w:tcMar>
          </w:tcPr>
          <w:p>
            <w:r>
              <w:rPr>
                <w:rFonts w:ascii="Aptos" w:hAnsi="Aptos"/>
                <w:b/>
                <w:i w:val="0"/>
                <w:color w:val="FFFFFF"/>
                <w:sz w:val="16"/>
              </w:rPr>
              <w:t>PROGRAMME LEAD</w:t>
            </w:r>
          </w:p>
        </w:tc>
        <w:tc>
          <w:tcPr>
            <w:tcW w:type="dxa" w:w="7200"/>
            <w:shd w:fill="F4F8FA"/>
            <w:tcMar>
              <w:top w:w="110" w:type="dxa"/>
              <w:start w:w="140" w:type="dxa"/>
              <w:bottom w:w="110" w:type="dxa"/>
              <w:end w:w="140" w:type="dxa"/>
            </w:tcMar>
          </w:tcPr>
          <w:p>
            <w:r>
              <w:rPr>
                <w:rFonts w:ascii="Aptos" w:hAnsi="Aptos"/>
                <w:b w:val="0"/>
                <w:i w:val="0"/>
                <w:color w:val="13263A"/>
                <w:sz w:val="17"/>
              </w:rPr>
              <w:t>Dr Juan Martin</w:t>
            </w:r>
          </w:p>
        </w:tc>
      </w:tr>
      <w:tr>
        <w:tc>
          <w:tcPr>
            <w:tcW w:type="dxa" w:w="2438"/>
            <w:shd w:fill="0C2947"/>
            <w:tcMar>
              <w:top w:w="110" w:type="dxa"/>
              <w:start w:w="140" w:type="dxa"/>
              <w:bottom w:w="110" w:type="dxa"/>
              <w:end w:w="140" w:type="dxa"/>
            </w:tcMar>
          </w:tcPr>
          <w:p>
            <w:r>
              <w:rPr>
                <w:rFonts w:ascii="Aptos" w:hAnsi="Aptos"/>
                <w:b/>
                <w:i w:val="0"/>
                <w:color w:val="FFFFFF"/>
                <w:sz w:val="16"/>
              </w:rPr>
              <w:t>INSTITUTIONAL CONTEXT</w:t>
            </w:r>
          </w:p>
        </w:tc>
        <w:tc>
          <w:tcPr>
            <w:tcW w:type="dxa" w:w="7200"/>
            <w:shd w:fill="F4F8FA"/>
            <w:tcMar>
              <w:top w:w="110" w:type="dxa"/>
              <w:start w:w="140" w:type="dxa"/>
              <w:bottom w:w="110" w:type="dxa"/>
              <w:end w:w="140" w:type="dxa"/>
            </w:tcMar>
          </w:tcPr>
          <w:p>
            <w:r>
              <w:rPr>
                <w:rFonts w:ascii="Aptos" w:hAnsi="Aptos"/>
                <w:b w:val="0"/>
                <w:i w:val="0"/>
                <w:color w:val="13263A"/>
                <w:sz w:val="17"/>
              </w:rPr>
              <w:t>University of East London</w:t>
            </w:r>
          </w:p>
        </w:tc>
      </w:tr>
      <w:tr>
        <w:tc>
          <w:tcPr>
            <w:tcW w:type="dxa" w:w="2438"/>
            <w:shd w:fill="0C2947"/>
            <w:tcMar>
              <w:top w:w="110" w:type="dxa"/>
              <w:start w:w="140" w:type="dxa"/>
              <w:bottom w:w="110" w:type="dxa"/>
              <w:end w:w="140" w:type="dxa"/>
            </w:tcMar>
          </w:tcPr>
          <w:p>
            <w:r>
              <w:rPr>
                <w:rFonts w:ascii="Aptos" w:hAnsi="Aptos"/>
                <w:b/>
                <w:i w:val="0"/>
                <w:color w:val="FFFFFF"/>
                <w:sz w:val="16"/>
              </w:rPr>
              <w:t>CURRENT MATURITY</w:t>
            </w:r>
          </w:p>
        </w:tc>
        <w:tc>
          <w:tcPr>
            <w:tcW w:type="dxa" w:w="7200"/>
            <w:shd w:fill="F4F8FA"/>
            <w:tcMar>
              <w:top w:w="110" w:type="dxa"/>
              <w:start w:w="140" w:type="dxa"/>
              <w:bottom w:w="110" w:type="dxa"/>
              <w:end w:w="140" w:type="dxa"/>
            </w:tcMar>
          </w:tcPr>
          <w:p>
            <w:r>
              <w:rPr>
                <w:rFonts w:ascii="Aptos" w:hAnsi="Aptos"/>
                <w:b w:val="0"/>
                <w:i w:val="0"/>
                <w:color w:val="13263A"/>
                <w:sz w:val="17"/>
              </w:rPr>
              <w:t>Integrated DISE platform: TRL 3, advancing toward TRL 4</w:t>
            </w:r>
          </w:p>
        </w:tc>
      </w:tr>
      <w:tr>
        <w:tc>
          <w:tcPr>
            <w:tcW w:type="dxa" w:w="2438"/>
            <w:shd w:fill="0C2947"/>
            <w:tcMar>
              <w:top w:w="110" w:type="dxa"/>
              <w:start w:w="140" w:type="dxa"/>
              <w:bottom w:w="110" w:type="dxa"/>
              <w:end w:w="140" w:type="dxa"/>
            </w:tcMar>
          </w:tcPr>
          <w:p>
            <w:r>
              <w:rPr>
                <w:rFonts w:ascii="Aptos" w:hAnsi="Aptos"/>
                <w:b/>
                <w:i w:val="0"/>
                <w:color w:val="FFFFFF"/>
                <w:sz w:val="16"/>
              </w:rPr>
              <w:t>TECHNICAL BASIS</w:t>
            </w:r>
          </w:p>
        </w:tc>
        <w:tc>
          <w:tcPr>
            <w:tcW w:type="dxa" w:w="7200"/>
            <w:shd w:fill="F4F8FA"/>
            <w:tcMar>
              <w:top w:w="110" w:type="dxa"/>
              <w:start w:w="140" w:type="dxa"/>
              <w:bottom w:w="110" w:type="dxa"/>
              <w:end w:w="140" w:type="dxa"/>
            </w:tcMar>
          </w:tcPr>
          <w:p>
            <w:r>
              <w:rPr>
                <w:rFonts w:ascii="Aptos" w:hAnsi="Aptos"/>
                <w:b w:val="0"/>
                <w:i w:val="0"/>
                <w:color w:val="13263A"/>
                <w:sz w:val="17"/>
              </w:rPr>
              <w:t>DISE Technical White Paper, Version 5.0</w:t>
            </w:r>
          </w:p>
        </w:tc>
      </w:tr>
    </w:tbl>
    <w:p>
      <w:pPr>
        <w:pStyle w:val="Heading2"/>
        <w:keepNext/>
      </w:pPr>
      <w:r>
        <w:t>Important qualification</w:t>
      </w:r>
    </w:p>
    <w:p>
      <w:r>
        <w:t>DISE is an integrated TRL 3 technology architecture. The mechanisms and component technologies have supporting analytical and literature precedent, but the complete formulation has not yet demonstrated all challenge constraints simultaneously. Costs, timings and facility assumptions in this dossier are indicative and must be validated during mobilisation.</w:t>
      </w:r>
    </w:p>
    <w:p>
      <w:pPr>
        <w:spacing w:after="160"/>
      </w:pPr>
      <w:r>
        <w:rPr>
          <w:color w:val="B7E344"/>
          <w:sz w:val="18"/>
        </w:rPr>
        <w:t>━━━━━━━━━━</w:t>
      </w:r>
    </w:p>
    <w:p>
      <w:pPr>
        <w:jc w:val="center"/>
      </w:pPr>
      <w:r>
        <w:rPr>
          <w:rFonts w:ascii="Aptos" w:hAnsi="Aptos"/>
          <w:b/>
          <w:i w:val="0"/>
          <w:color w:val="18A7A0"/>
          <w:sz w:val="20"/>
        </w:rPr>
        <w:t>STRUCTURAL REINFORCEMENT WITHOUT PERMANENT BLOCKAGE</w:t>
      </w:r>
    </w:p>
    <w:p>
      <w:pPr>
        <w:jc w:val="center"/>
      </w:pPr>
      <w:r>
        <w:rPr>
          <w:rFonts w:ascii="Aptos" w:hAnsi="Aptos"/>
          <w:b/>
          <w:i w:val="0"/>
          <w:color w:val="071B33"/>
          <w:sz w:val="18"/>
        </w:rPr>
        <w:t>DISE • Delayed In-Situ Suspension Polymerization</w:t>
      </w:r>
    </w:p>
    <w:sectPr w:rsidR="00FC693F" w:rsidRPr="0006063C" w:rsidSect="00034616">
      <w:headerReference w:type="default" r:id="rId9"/>
      <w:headerReference w:type="even" r:id="rId10"/>
      <w:footerReference w:type="default" r:id="rId11"/>
      <w:footerReference w:type="even" r:id="rId12"/>
      <w:pgSz w:w="11906" w:h="16838"/>
      <w:pgMar w:top="1020" w:right="1134" w:bottom="1020" w:left="1134"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b w:val="0"/>
        <w:i w:val="0"/>
        <w:color w:val="53697D"/>
        <w:sz w:val="14"/>
      </w:rPr>
      <w:t>DISE  •  Timeline, Capability &amp; Costs  •  September 2026</w:t>
    </w:r>
    <w:r>
      <w:t xml:space="preserv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b w:val="0"/>
        <w:i w:val="0"/>
        <w:color w:val="53697D"/>
        <w:sz w:val="14"/>
      </w:rPr>
      <w:t>DISE  •  Timeline, Capability &amp; Costs  •  September 2026</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left"/>
      </w:tabs>
      <w:spacing w:after="0"/>
    </w:pPr>
    <w:r>
      <w:rPr>
        <w:rFonts w:ascii="Aptos" w:hAnsi="Aptos"/>
        <w:b/>
        <w:i w:val="0"/>
        <w:color w:val="071B33"/>
        <w:sz w:val="16"/>
      </w:rPr>
      <w:t>DISE</w:t>
    </w:r>
    <w:r>
      <w:rPr>
        <w:rFonts w:ascii="Aptos" w:hAnsi="Aptos"/>
        <w:b w:val="0"/>
        <w:i w:val="0"/>
        <w:color w:val="53697D"/>
        <w:sz w:val="15"/>
      </w:rPr>
      <w:t xml:space="preserve">   PROGRAMME DOSSIER</w:t>
    </w:r>
    <w:r>
      <w:tab/>
    </w:r>
    <w:r>
      <w:rPr>
        <w:rFonts w:ascii="Aptos" w:hAnsi="Aptos"/>
        <w:b/>
        <w:i w:val="0"/>
        <w:color w:val="18A7A0"/>
        <w:sz w:val="15"/>
      </w:rPr>
      <w:t>TRL 3 TO TRL 4</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left"/>
      </w:tabs>
      <w:spacing w:after="0"/>
    </w:pPr>
    <w:r>
      <w:rPr>
        <w:rFonts w:ascii="Aptos" w:hAnsi="Aptos"/>
        <w:b/>
        <w:i w:val="0"/>
        <w:color w:val="071B33"/>
        <w:sz w:val="16"/>
      </w:rPr>
      <w:t>DISE</w:t>
    </w:r>
    <w:r>
      <w:rPr>
        <w:rFonts w:ascii="Aptos" w:hAnsi="Aptos"/>
        <w:b w:val="0"/>
        <w:i w:val="0"/>
        <w:color w:val="53697D"/>
        <w:sz w:val="15"/>
      </w:rPr>
      <w:t xml:space="preserve">   PROGRAMME DOSSIER</w:t>
    </w:r>
    <w:r>
      <w:tab/>
    </w:r>
    <w:r>
      <w:rPr>
        <w:rFonts w:ascii="Aptos" w:hAnsi="Aptos"/>
        <w:b/>
        <w:i w:val="0"/>
        <w:color w:val="18A7A0"/>
        <w:sz w:val="15"/>
      </w:rPr>
      <w:t>TRL 3 TO TRL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326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jc w:val="left"/>
      <w:outlineLvl w:val="0"/>
    </w:pPr>
    <w:rPr>
      <w:rFonts w:asciiTheme="majorHAnsi" w:eastAsiaTheme="majorEastAsia" w:hAnsiTheme="majorHAnsi" w:cstheme="majorBidi" w:ascii="Aptos Display" w:hAnsi="Aptos Display"/>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40" w:after="60"/>
      <w:jc w:val="left"/>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0"/>
      <w:contextualSpacing/>
      <w:jc w:val="left"/>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00"/>
    </w:pPr>
    <w:rPr>
      <w:rFonts w:ascii="Aptos" w:hAnsi="Aptos"/>
      <w:b w:val="0"/>
      <w:bCs/>
      <w:color w:val="53697D"/>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00"/>
    </w:pPr>
    <w:rPr>
      <w:rFonts w:ascii="Aptos" w:hAnsi="Aptos"/>
      <w:b/>
      <w:color w:val="20C8E8"/>
      <w:sz w:val="16"/>
    </w:rPr>
  </w:style>
  <w:style w:type="paragraph" w:customStyle="1" w:styleId="Deck">
    <w:name w:val="Deck"/>
    <w:pPr>
      <w:spacing w:after="100"/>
    </w:pPr>
    <w:rPr>
      <w:rFonts w:ascii="Aptos" w:hAnsi="Aptos"/>
      <w:b w:val="0"/>
      <w:color w:val="53697D"/>
      <w:sz w:val="30"/>
    </w:rPr>
  </w:style>
  <w:style w:type="paragraph" w:customStyle="1" w:styleId="Metric">
    <w:name w:val="Metric"/>
    <w:pPr>
      <w:spacing w:after="100"/>
    </w:pPr>
    <w:rPr>
      <w:rFonts w:ascii="Aptos" w:hAnsi="Aptos"/>
      <w:b/>
      <w:color w:val="071B33"/>
      <w:sz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 — Timeline, Capability &amp; Costs</dc:title>
  <dc:subject>Six-month TRL 3 to TRL 4 laboratory programme</dc:subject>
  <dc:creator>Dr Juan Martin</dc:creator>
  <cp:keywords>DISE, timeline, capability, costs, TRL 3, TRL 4, UEL</cp:keywords>
  <dc:description>generated by python-docx</dc:description>
  <cp:lastModifiedBy/>
  <cp:revision>1</cp:revision>
  <dcterms:created xsi:type="dcterms:W3CDTF">2013-12-23T23:15:00Z</dcterms:created>
  <dcterms:modified xsi:type="dcterms:W3CDTF">2013-12-23T23:15:00Z</dcterms:modified>
  <cp:category/>
</cp:coreProperties>
</file>